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3DF2B427">
      <w:pPr>
        <w:pStyle w:val="style0"/>
        <w:spacing w:before="480" w:after="480" w:lineRule="auto" w:line="288"/>
        <w:ind w:left="0"/>
        <w:rPr/>
      </w:pPr>
      <w:r>
        <w:rPr>
          <w:rFonts w:ascii="Arial" w:cs="Arial" w:eastAsia="等线" w:hAnsi="Arial"/>
          <w:b/>
          <w:sz w:val="52"/>
        </w:rPr>
        <w:t>ICP-OES仪器选型技术规格书</w:t>
      </w:r>
    </w:p>
    <w:p w14:paraId="764E1B2F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本技术规格书依据ASTM D5185-18（modified）《用电感耦合等离子体原子发射光谱法（ICP-OES）测定新旧润滑油及基础油中多元素的标准试验方法（修改版）》编制，规定了用于该标准检测的ICP-OES仪器选型的各项技术要求、配置要求及符合性要求，作为仪器采购、选型验收的唯一技术依据。</w:t>
      </w:r>
    </w:p>
    <w:bookmarkStart w:id="0" w:name="heading_0"/>
    <w:p w14:paraId="90DA6079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1. 适用范围</w:t>
      </w:r>
      <w:bookmarkEnd w:id="0"/>
    </w:p>
    <w:p w14:paraId="1832DA38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本规格书适用于按ASTM D5185-18(mod)标准，采用有机进样、直接稀释法，测定润滑油、基础油、再生基础油及相关烃类样品中以下22项元素的ICP-OES仪器选型：铝（Al）、铬（Cr）、铜（Cu）、铁（Fe）、钼（Mo）、钠（Na）、钾（K）、镍（Ni）、铅（Pb）、硅（Si）、锡（Sn）、钒（V）、钡（Ba）、钙（Ca）、锰（Mn）、镁（Mg）、锌（Zn）、镉（Cd）、钛（Ti）、硼（B）、银（Ag）、磷（P）。</w:t>
      </w:r>
    </w:p>
    <w:bookmarkStart w:id="1" w:name="heading_1"/>
    <w:p w14:paraId="DD7BA642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2. 引用标准</w:t>
      </w:r>
      <w:bookmarkEnd w:id="1"/>
    </w:p>
    <w:p w14:paraId="7415FFD4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ASTM D5185-18《Standard Test Method for Multielement Determination of Used and Unused Lubricating Oils and Base Oils by Inductively Coupled Plasma Atomic Emission Spectrometry》（modified版）</w:t>
      </w:r>
    </w:p>
    <w:bookmarkStart w:id="2" w:name="heading_2"/>
    <w:p w14:paraId="527BFBE6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3. 仪器类型及核心要求</w:t>
      </w:r>
      <w:bookmarkEnd w:id="2"/>
    </w:p>
    <w:bookmarkStart w:id="3" w:name="heading_3"/>
    <w:p w14:paraId="DF1ADF64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3.1 仪器类型</w:t>
      </w:r>
      <w:bookmarkEnd w:id="3"/>
    </w:p>
    <w:p w14:paraId="269A39A1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电感耦合等离子体发射光谱仪（ICP-OES），具备稳定的等离子体发生系统、高效进样系统及高分辨率检测系统，支持有机样品直接进样模式。</w:t>
      </w:r>
    </w:p>
    <w:bookmarkStart w:id="4" w:name="heading_4"/>
    <w:p w14:paraId="3F85DB37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3.2 观测方式</w:t>
      </w:r>
      <w:bookmarkEnd w:id="4"/>
    </w:p>
    <w:p w14:paraId="A017107C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采用径向观测或双向观测（径向+轴向），优先选用双向观测模式，可根据元素含量自动切换观测方式，兼顾低含量痕量元素（如Cd、Ag）和高含量添加剂元素（如Ca、P、Zn）的检测需求，符合ASTM D5185-18对不同浓度元素的检测要求。</w:t>
      </w:r>
    </w:p>
    <w:bookmarkStart w:id="5" w:name="heading_5"/>
    <w:p w14:paraId="0877FBA8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3.3 进样系统兼容性</w:t>
      </w:r>
      <w:bookmarkEnd w:id="5"/>
    </w:p>
    <w:p w14:paraId="6ED8E3A7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必须支持有机样品直接进样，可适配润滑油、二甲苯/煤油稀释液等烃类基质样品，无管路腐蚀、堵塞等问题，确保进样稳定性和检测准确性。</w:t>
      </w:r>
    </w:p>
    <w:bookmarkStart w:id="6" w:name="heading_6"/>
    <w:p w14:paraId="DFA61877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4. 核心性能指标（需满足ASTM D5185-18(mod)最低要求）</w:t>
      </w:r>
      <w:bookmarkEnd w:id="6"/>
    </w:p>
    <w:tbl>
      <w:tblPr>
        <w:tblW w:w="0" w:type="auto"/>
        <w:tblInd w:w="0" w:type="dxa"/>
        <w:tblBorders>
          <w:top w:val="single" w:sz="4" w:space="0" w:color="dee0e3"/>
          <w:left w:val="single" w:sz="4" w:space="0" w:color="dee0e3"/>
          <w:bottom w:val="single" w:sz="4" w:space="0" w:color="dee0e3"/>
          <w:right w:val="single" w:sz="4" w:space="0" w:color="dee0e3"/>
          <w:insideH w:val="single" w:sz="4" w:space="0" w:color="dee0e3"/>
          <w:insideV w:val="single" w:sz="4" w:space="0" w:color="dee0e3"/>
        </w:tblBorders>
        <w:tblLayout w:type="fixed"/>
      </w:tblPr>
      <w:tblGrid>
        <w:gridCol w:w="2760"/>
        <w:gridCol w:w="2760"/>
        <w:gridCol w:w="2760"/>
      </w:tblGrid>
      <w:tr w14:paraId="E9B41872">
        <w:trPr/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8AA5D9BB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性能指标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9C8657BA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具体要求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993A181A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备注（对应</w:t>
            </w:r>
            <w:r>
              <w:rPr>
                <w:rFonts w:ascii="Arial" w:cs="Arial" w:eastAsia="等线" w:hAnsi="Arial"/>
                <w:sz w:val="22"/>
              </w:rPr>
              <w:t>标准要求）</w:t>
            </w:r>
          </w:p>
        </w:tc>
      </w:tr>
      <w:tr w14:paraId="D23AEAC2">
        <w:tblPrEx/>
        <w:trPr/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C3C33250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检出限（LOD，3σ，有机基体</w:t>
            </w:r>
            <w:r>
              <w:rPr>
                <w:rFonts w:ascii="Arial" w:cs="Arial" w:eastAsia="等线" w:hAnsi="Arial"/>
                <w:sz w:val="22"/>
              </w:rPr>
              <w:t>）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DDA9B795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1. B、P、Na、K、Ca、Mg：≤ 0</w:t>
            </w:r>
            <w:r>
              <w:rPr>
                <w:rFonts w:ascii="Arial" w:cs="Arial" w:eastAsia="等线" w:hAnsi="Arial"/>
                <w:sz w:val="22"/>
              </w:rPr>
              <w:t>.05 mg/kg；</w:t>
            </w:r>
            <w:r>
              <w:rPr>
                <w:rFonts w:ascii="Arial" w:cs="Arial" w:eastAsia="等线" w:hAnsi="Arial"/>
                <w:sz w:val="22"/>
              </w:rPr>
              <w:t>2. Al、Si、Zn、Fe、Cu、Cr、Mn、Ba：≤ 0</w:t>
            </w:r>
            <w:r>
              <w:rPr>
                <w:rFonts w:ascii="Arial" w:cs="Arial" w:eastAsia="等线" w:hAnsi="Arial"/>
                <w:sz w:val="22"/>
              </w:rPr>
              <w:t>.1 mg/kg；</w:t>
            </w:r>
            <w:r>
              <w:rPr>
                <w:rFonts w:ascii="Arial" w:cs="Arial" w:eastAsia="等线" w:hAnsi="Arial"/>
                <w:sz w:val="22"/>
              </w:rPr>
              <w:t>3. Mo、Ni、Pb、Sn、V、Ti、Ag：≤ 0.5 mg/kg；</w:t>
            </w:r>
            <w:r>
              <w:rPr>
                <w:rFonts w:ascii="Arial" w:cs="Arial" w:eastAsia="等线" w:hAnsi="Arial"/>
                <w:sz w:val="22"/>
              </w:rPr>
              <w:t>4. Cd：≤ 1.0 mg/kg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D1CF4796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满足ASTM D5185</w:t>
            </w:r>
            <w:r>
              <w:rPr>
                <w:rFonts w:ascii="Arial" w:cs="Arial" w:eastAsia="等线" w:hAnsi="Arial"/>
                <w:sz w:val="22"/>
              </w:rPr>
              <w:t>-18对在用油磨损金属、污染物及添加剂元素的痕量检测需求</w:t>
            </w:r>
          </w:p>
        </w:tc>
      </w:tr>
      <w:tr w14:paraId="F7EEBF7E">
        <w:tblPrEx/>
        <w:trPr/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FDB698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线性范围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B33848B8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至少覆盖0.1～500 mg/kg，高含量</w:t>
            </w:r>
            <w:r>
              <w:rPr>
                <w:rFonts w:ascii="Arial" w:cs="Arial" w:eastAsia="等线" w:hAnsi="Arial"/>
                <w:sz w:val="22"/>
              </w:rPr>
              <w:t>元素（Ca、P、Zn、Mg、B）可直接测定，无需二次稀释或自动衰减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AE5EFCCB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适配ASTM D5185-18(mod)中不同浓度样品的检测，</w:t>
            </w:r>
            <w:r>
              <w:rPr>
                <w:rFonts w:ascii="Arial" w:cs="Arial" w:eastAsia="等线" w:hAnsi="Arial"/>
                <w:sz w:val="22"/>
              </w:rPr>
              <w:t>避免稀释带来的误差</w:t>
            </w:r>
          </w:p>
        </w:tc>
      </w:tr>
      <w:tr w14:paraId="7F3CF3F4">
        <w:tblPrEx/>
        <w:trPr/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85574C97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精密度（RSD）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AB6166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1. 重复性（</w:t>
            </w:r>
            <w:r>
              <w:rPr>
                <w:rFonts w:ascii="Arial" w:cs="Arial" w:eastAsia="等线" w:hAnsi="Arial"/>
                <w:sz w:val="22"/>
              </w:rPr>
              <w:t>同一标样连续测定10次）：RSD ≤ 1.5%；</w:t>
            </w:r>
            <w:r>
              <w:rPr>
                <w:rFonts w:ascii="Arial" w:cs="Arial" w:eastAsia="等线" w:hAnsi="Arial"/>
                <w:sz w:val="22"/>
              </w:rPr>
              <w:t>2. 长期稳定性（连续4</w:t>
            </w:r>
            <w:r>
              <w:rPr>
                <w:rFonts w:ascii="Arial" w:cs="Arial" w:eastAsia="等线" w:hAnsi="Arial"/>
                <w:sz w:val="22"/>
              </w:rPr>
              <w:t>小时测定）：RSD ≤ 2.0%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73162A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符合</w:t>
            </w:r>
            <w:r>
              <w:rPr>
                <w:rFonts w:ascii="Arial" w:cs="Arial" w:eastAsia="等线" w:hAnsi="Arial"/>
                <w:sz w:val="22"/>
              </w:rPr>
              <w:t>ASTM D5185-18对多元素同时测定的精密度要求，确保检测结果可靠</w:t>
            </w:r>
          </w:p>
        </w:tc>
      </w:tr>
      <w:tr w14:paraId="16121087">
        <w:tblPrEx/>
        <w:trPr/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2CB3A6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波长覆盖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BD8E9D8B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波长范围：160 nm～800 nm；必须</w:t>
            </w:r>
            <w:r>
              <w:rPr>
                <w:rFonts w:ascii="Arial" w:cs="Arial" w:eastAsia="等线" w:hAnsi="Arial"/>
                <w:sz w:val="22"/>
              </w:rPr>
              <w:t>覆盖以下关键分析线：P(213.618 nm)、B(249.678 nm)、Si(251.</w:t>
            </w:r>
            <w:r>
              <w:rPr>
                <w:rFonts w:ascii="Arial" w:cs="Arial" w:eastAsia="等线" w:hAnsi="Arial"/>
                <w:sz w:val="22"/>
              </w:rPr>
              <w:t>611 nm)、Na(589.592 nm)、K(766.491 nm)，以及Al、Fe、Cu、Ca、Mg等常用</w:t>
            </w:r>
            <w:r>
              <w:rPr>
                <w:rFonts w:ascii="Arial" w:cs="Arial" w:eastAsia="等线" w:hAnsi="Arial"/>
                <w:sz w:val="22"/>
              </w:rPr>
              <w:t>元素特征谱线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EA73E4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确保22项目标元素均能</w:t>
            </w:r>
            <w:r>
              <w:rPr>
                <w:rFonts w:ascii="Arial" w:cs="Arial" w:eastAsia="等线" w:hAnsi="Arial"/>
                <w:sz w:val="22"/>
              </w:rPr>
              <w:t>找到合适的分析线，避免光谱干扰</w:t>
            </w:r>
          </w:p>
        </w:tc>
      </w:tr>
      <w:tr w14:paraId="AD3B4E3C">
        <w:tblPrEx/>
        <w:trPr/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A92FA765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等离子体稳定性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8CA09F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等离子体点火后，稳定时间≤15</w:t>
            </w:r>
            <w:r>
              <w:rPr>
                <w:rFonts w:ascii="Arial" w:cs="Arial" w:eastAsia="等线" w:hAnsi="Arial"/>
                <w:sz w:val="22"/>
              </w:rPr>
              <w:t>分钟，连续运行过程中等离子体不熄灭、无明显波动</w:t>
            </w:r>
          </w:p>
        </w:tc>
        <w:tc>
          <w:tcPr>
            <w:tcW w:w="2760" w:type="dxa"/>
            <w:tcBorders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99FBA2">
            <w:pPr>
              <w:pStyle w:val="style0"/>
              <w:spacing w:before="120" w:after="120" w:lineRule="auto" w:line="288"/>
              <w:ind w:left="0"/>
              <w:jc w:val="left"/>
              <w:rPr/>
            </w:pPr>
            <w:r>
              <w:rPr>
                <w:rFonts w:ascii="Arial" w:cs="Arial" w:eastAsia="等线" w:hAnsi="Arial"/>
                <w:sz w:val="22"/>
              </w:rPr>
              <w:t>保障批量样品连续检测的效率和稳定性</w:t>
            </w:r>
          </w:p>
        </w:tc>
      </w:tr>
      <w:bookmarkStart w:id="7" w:name="heading_7"/>
    </w:tbl>
    <w:p w14:paraId="82FE3BC8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5. 进样系统详细要求（有机进样关键配置）</w:t>
      </w:r>
      <w:bookmarkEnd w:id="7"/>
    </w:p>
    <w:p w14:paraId="77852FB7">
      <w:pPr>
        <w:pStyle w:val="style0"/>
        <w:numPr>
          <w:ilvl w:val="0"/>
          <w:numId w:val="1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雾化器：采用玻璃同心雾化器或耐有机溶剂专用雾化器，耐腐蚀、不易堵塞，适配有机稀释液，雾化效率≥90%。</w:t>
      </w:r>
    </w:p>
    <w:p w14:paraId="3DE2BE28">
      <w:pPr>
        <w:pStyle w:val="style0"/>
        <w:numPr>
          <w:ilvl w:val="0"/>
          <w:numId w:val="2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雾室：采用旋流雾室，配备冷却功能（冷却温度≤4℃），有效抑制有机溶剂挥发，减少基体干扰，保证进样稳定性。</w:t>
      </w:r>
    </w:p>
    <w:p w14:paraId="06608CC8">
      <w:pPr>
        <w:pStyle w:val="style0"/>
        <w:numPr>
          <w:ilvl w:val="0"/>
          <w:numId w:val="3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蠕动泵：泵速可在0.5～2.0 mL/min连续可调，具备防虹吸、防倒流功能，适配有机样品的粘稠特性。</w:t>
      </w:r>
    </w:p>
    <w:p w14:paraId="52B4EBBA">
      <w:pPr>
        <w:pStyle w:val="style0"/>
        <w:numPr>
          <w:ilvl w:val="0"/>
          <w:numId w:val="4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管路系统：全套管路采用耐烃类、耐油材质，可耐受二甲苯、煤油等稀释溶剂，无溶胀、渗漏现象。</w:t>
      </w:r>
    </w:p>
    <w:p w14:paraId="FBCD2195">
      <w:pPr>
        <w:pStyle w:val="style0"/>
        <w:numPr>
          <w:ilvl w:val="0"/>
          <w:numId w:val="5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辅助配置：配备有机进样专用接头、废液收集装置，仪器内置油品专用进样模式，可直接调用适配ASTM D5185-18(mod)的进样参数。</w:t>
      </w:r>
    </w:p>
    <w:bookmarkStart w:id="8" w:name="heading_8"/>
    <w:p w14:paraId="5554CB04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6. 软件与方法要求</w:t>
      </w:r>
      <w:bookmarkEnd w:id="8"/>
    </w:p>
    <w:p w14:paraId="D3E4B7A5">
      <w:pPr>
        <w:pStyle w:val="style0"/>
        <w:numPr>
          <w:ilvl w:val="0"/>
          <w:numId w:val="6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软件功能：具备中文操作界面，操作便捷，支持方法编辑、参数保存、数据导出、报告生成等功能，稳定性强，无卡顿、崩溃现象。</w:t>
      </w:r>
    </w:p>
    <w:p w14:paraId="9F7AF913">
      <w:pPr>
        <w:pStyle w:val="style0"/>
        <w:numPr>
          <w:ilvl w:val="0"/>
          <w:numId w:val="7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方法模板：内置或可手动建立ASTM D5185-18标准方法模板，支持用户根据(mod)修改项（如稀释比、积分时间、波长选择、等离子体参数）进行自定义调整，调整后可保存为专用方法。</w:t>
      </w:r>
    </w:p>
    <w:p w14:paraId="8327843D">
      <w:pPr>
        <w:pStyle w:val="style0"/>
        <w:numPr>
          <w:ilvl w:val="0"/>
          <w:numId w:val="8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校正功能：支持内标校正（可选用Y、Sc、In等内标元素）、有机基体匹配校正、光谱干扰校正（扣背景、谱线拟合），确保检测结果准确。</w:t>
      </w:r>
    </w:p>
    <w:p w14:paraId="4CE9E6E5">
      <w:pPr>
        <w:pStyle w:val="style0"/>
        <w:numPr>
          <w:ilvl w:val="0"/>
          <w:numId w:val="9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结果输出：可直接以mg/kg（ppm）为单位输出检测结果，支持批量样品数据导出（Excel、PDF格式），报告中可自动标注方法依据为“ASTM D5185-18(mod)”，包含样品编号、检测日期、元素名称、检测结果、精密度等信息。</w:t>
      </w:r>
    </w:p>
    <w:bookmarkStart w:id="9" w:name="heading_9"/>
    <w:p w14:paraId="ECBA59B4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7. 标准配置清单（必配项，不可缺失）</w:t>
      </w:r>
      <w:bookmarkEnd w:id="9"/>
    </w:p>
    <w:p w14:paraId="B9BAE524">
      <w:pPr>
        <w:pStyle w:val="style0"/>
        <w:numPr>
          <w:ilvl w:val="0"/>
          <w:numId w:val="10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ICP-OES主机1台（含等离子体发生器、光谱检测器、双向/径向观测系统）；</w:t>
      </w:r>
    </w:p>
    <w:p w14:paraId="B9A7AD9D">
      <w:pPr>
        <w:pStyle w:val="style0"/>
        <w:numPr>
          <w:ilvl w:val="0"/>
          <w:numId w:val="11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有机进样系统1套（含耐有机溶剂雾化器、冷却旋流雾室、耐油管路、蠕动泵）；</w:t>
      </w:r>
    </w:p>
    <w:p w14:paraId="5CFC3264">
      <w:pPr>
        <w:pStyle w:val="style0"/>
        <w:numPr>
          <w:ilvl w:val="0"/>
          <w:numId w:val="12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油基体多元素标准溶液1套（覆盖22项目标元素，浓度适配0.1～500 mg/kg，符合ASTM D5185-18标液体系）；</w:t>
      </w:r>
    </w:p>
    <w:p w14:paraId="36778406">
      <w:pPr>
        <w:pStyle w:val="style0"/>
        <w:numPr>
          <w:ilvl w:val="0"/>
          <w:numId w:val="13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内标溶液1套（Y/Sc/In，浓度适宜，用于校正基体效应）；</w:t>
      </w:r>
    </w:p>
    <w:p w14:paraId="047EBD5D">
      <w:pPr>
        <w:pStyle w:val="style0"/>
        <w:numPr>
          <w:ilvl w:val="0"/>
          <w:numId w:val="14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质量控制（QC）标样2套（低浓度、中浓度，用于日常检测质控）；</w:t>
      </w:r>
    </w:p>
    <w:p w14:paraId="CFD07F52">
      <w:pPr>
        <w:pStyle w:val="style0"/>
        <w:numPr>
          <w:ilvl w:val="0"/>
          <w:numId w:val="15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配套电脑1台（含专用操作软件、数据处理软件）、打印机1台；</w:t>
      </w:r>
    </w:p>
    <w:p w14:paraId="9C713CBC">
      <w:pPr>
        <w:pStyle w:val="style0"/>
        <w:numPr>
          <w:ilvl w:val="0"/>
          <w:numId w:val="16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稳压电源1台（确保仪器运行电压稳定）；</w:t>
      </w:r>
    </w:p>
    <w:p w14:paraId="EB836ED5">
      <w:pPr>
        <w:pStyle w:val="style0"/>
        <w:numPr>
          <w:ilvl w:val="0"/>
          <w:numId w:val="17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专用废液收集装置、有机进样接头、工具包等辅助配件。</w:t>
      </w:r>
    </w:p>
    <w:bookmarkStart w:id="10" w:name="heading_10"/>
    <w:p w14:paraId="AF18EA15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8. 符合性声明</w:t>
      </w:r>
      <w:bookmarkEnd w:id="10"/>
    </w:p>
    <w:p w14:paraId="3FD9CD78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所选型的ICP-OES仪器必须满足以下要求，方可通过选型验收：</w:t>
      </w:r>
    </w:p>
    <w:p w14:paraId="E4AF3A72">
      <w:pPr>
        <w:pStyle w:val="style0"/>
        <w:numPr>
          <w:ilvl w:val="0"/>
          <w:numId w:val="18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完全符合ASTM D5185-18标准主体要求，各项性能指标、进样系统、软件功能均达到本规格书规定的最低标准；</w:t>
      </w:r>
    </w:p>
    <w:p w14:paraId="5E45A1EA">
      <w:pPr>
        <w:pStyle w:val="style0"/>
        <w:numPr>
          <w:ilvl w:val="0"/>
          <w:numId w:val="19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支持用户根据ASTM D5185-18(mod)的修改项，对仪器参数（稀释比、积分时间、波长选择、等离子体参数等）进行合理调整，且调整后检测结果符合标准精密度、准确度要求；</w:t>
      </w:r>
    </w:p>
    <w:p w14:paraId="8082F08B">
      <w:pPr>
        <w:pStyle w:val="style0"/>
        <w:numPr>
          <w:ilvl w:val="0"/>
          <w:numId w:val="20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可稳定用于润滑油、基础油、柴油、燃料油等有机基质样品中22项目标元素的日常检测，批量检测效率≥20个样品/小时；</w:t>
      </w:r>
    </w:p>
    <w:p w14:paraId="3BDA7A9A">
      <w:pPr>
        <w:pStyle w:val="style0"/>
        <w:numPr>
          <w:ilvl w:val="0"/>
          <w:numId w:val="21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仪器供应商需提供符合性证明文件，承诺仪器性能符合本规格书及ASTM D5185-18(mod)要求，并提供相关检测报告佐证。</w:t>
      </w:r>
    </w:p>
    <w:bookmarkStart w:id="11" w:name="heading_11"/>
    <w:p w14:paraId="504DB78F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9. 验收要求</w:t>
      </w:r>
      <w:bookmarkEnd w:id="11"/>
    </w:p>
    <w:p w14:paraId="D0C9D1EE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仪器到货后，需按本规格书及ASTM D5185-18(mod)标准要求，进行性能验收：采用油基体标准溶液、QC标样进行检测，验证检出限、精密度、线性范围等指标，所有指标达标后方可完成验收。</w:t>
      </w:r>
    </w:p>
    <w:p w14:paraId="A2DDAD54">
      <w:pPr>
        <w:pStyle w:val="style0"/>
        <w:spacing w:before="120" w:after="120" w:lineRule="auto" w:line="288"/>
        <w:ind w:left="0"/>
        <w:jc w:val="left"/>
        <w:rPr/>
      </w:pPr>
    </w:p>
    <w:sectPr>
      <w:headerReference w:type="default" r:id="rId2"/>
      <w:footerReference w:type="default" r:id="rId3"/>
      <w:pgSz w:w="11905" w:h="16840" w:orient="portrait"/>
      <w:pgMar w:top="1440" w:right="1800" w:bottom="1440" w:left="18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AF415446">
    <w:pPr>
      <w:pStyle w:val="style0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37F6115E">
    <w:pPr>
      <w:pStyle w:val="style0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">
    <w:nsid w:val="00000001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2">
    <w:nsid w:val="00000002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3">
    <w:nsid w:val="00000003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4">
    <w:nsid w:val="00000004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5">
    <w:nsid w:val="00000005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6">
    <w:nsid w:val="00000006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7">
    <w:nsid w:val="00000007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8">
    <w:nsid w:val="00000008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9">
    <w:nsid w:val="00000009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10">
    <w:nsid w:val="0000000A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11">
    <w:nsid w:val="0000000B"/>
    <w:multiLevelType w:val="multilevel"/>
    <w:tmpl w:val="FFFFFFFF"/>
    <w:lvl w:ilvl="0">
      <w:start w:val="3"/>
      <w:numFmt w:val="decimal"/>
      <w:lvlText w:val="%1."/>
      <w:lvlJc w:val="left"/>
      <w:pPr/>
      <w:rPr>
        <w:color w:val="3370ff"/>
      </w:rPr>
    </w:lvl>
  </w:abstractNum>
  <w:abstractNum w:abstractNumId="12">
    <w:nsid w:val="0000000C"/>
    <w:multiLevelType w:val="multilevel"/>
    <w:tmpl w:val="FFFFFFFF"/>
    <w:lvl w:ilvl="0">
      <w:start w:val="4"/>
      <w:numFmt w:val="decimal"/>
      <w:lvlText w:val="%1."/>
      <w:lvlJc w:val="left"/>
      <w:pPr/>
      <w:rPr>
        <w:color w:val="3370ff"/>
      </w:rPr>
    </w:lvl>
  </w:abstractNum>
  <w:abstractNum w:abstractNumId="13">
    <w:nsid w:val="0000000D"/>
    <w:multiLevelType w:val="multilevel"/>
    <w:tmpl w:val="FFFFFFFF"/>
    <w:lvl w:ilvl="0">
      <w:start w:val="5"/>
      <w:numFmt w:val="decimal"/>
      <w:lvlText w:val="%1."/>
      <w:lvlJc w:val="left"/>
      <w:pPr/>
      <w:rPr>
        <w:color w:val="3370ff"/>
      </w:rPr>
    </w:lvl>
  </w:abstractNum>
  <w:abstractNum w:abstractNumId="14">
    <w:nsid w:val="0000000E"/>
    <w:multiLevelType w:val="multilevel"/>
    <w:tmpl w:val="FFFFFFFF"/>
    <w:lvl w:ilvl="0">
      <w:start w:val="6"/>
      <w:numFmt w:val="decimal"/>
      <w:lvlText w:val="%1."/>
      <w:lvlJc w:val="left"/>
      <w:pPr/>
      <w:rPr>
        <w:color w:val="3370ff"/>
      </w:rPr>
    </w:lvl>
  </w:abstractNum>
  <w:abstractNum w:abstractNumId="15">
    <w:nsid w:val="0000000F"/>
    <w:multiLevelType w:val="multilevel"/>
    <w:tmpl w:val="FFFFFFFF"/>
    <w:lvl w:ilvl="0">
      <w:start w:val="7"/>
      <w:numFmt w:val="decimal"/>
      <w:lvlText w:val="%1."/>
      <w:lvlJc w:val="left"/>
      <w:pPr/>
      <w:rPr>
        <w:color w:val="3370ff"/>
      </w:rPr>
    </w:lvl>
  </w:abstractNum>
  <w:abstractNum w:abstractNumId="16">
    <w:nsid w:val="00000010"/>
    <w:multiLevelType w:val="multilevel"/>
    <w:tmpl w:val="FFFFFFFF"/>
    <w:lvl w:ilvl="0">
      <w:start w:val="8"/>
      <w:numFmt w:val="decimal"/>
      <w:lvlText w:val="%1."/>
      <w:lvlJc w:val="left"/>
      <w:pPr/>
      <w:rPr>
        <w:color w:val="3370ff"/>
      </w:rPr>
    </w:lvl>
  </w:abstractNum>
  <w:abstractNum w:abstractNumId="17">
    <w:nsid w:val="00000011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8">
    <w:nsid w:val="00000012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19">
    <w:nsid w:val="00000013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abstractNum w:abstractNumId="20">
    <w:nsid w:val="00000014"/>
    <w:multiLevelType w:val="multilevel"/>
    <w:tmpl w:val="FFFFFFFF"/>
    <w:lvl w:ilvl="0">
      <w:start w:val="1"/>
      <w:numFmt w:val="bullet"/>
      <w:lvlText w:val="•"/>
      <w:lvlJc w:val="left"/>
      <w:pPr/>
      <w:rPr>
        <w:color w:val="3370ff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ompat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/>
    <w:pPrDefault>
      <w:pPr/>
    </w:pPrDefault>
  </w:docDefaults>
  <w:style w:type="paragraph" w:default="1" w:styleId="style0">
    <w:name w:val="Normal"/>
    <w:pPr>
      <w:jc w:val="both"/>
    </w:pPr>
    <w:rPr>
      <w:sz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2145</Words>
  <Characters>2751</Characters>
  <Application>WPS Office</Application>
  <Paragraphs>71</Paragraphs>
  <CharactersWithSpaces>2828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2026-04-15T01:34:04Z</dcterms:created>
  <dc:creator>Apache POI</dc:creator>
  <lastModifiedBy>2410DPN6CC</lastModifiedBy>
  <dcterms:modified xsi:type="dcterms:W3CDTF">2026-04-15T02:33:59Z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845173ae990f427daed7fbb41e407b81_22</vt:lpwstr>
  </property>
</Properties>
</file>