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6A9ECF">
      <w:pPr>
        <w:rPr>
          <w:rFonts w:hint="eastAsia"/>
          <w:b/>
          <w:lang w:eastAsia="zh-CN"/>
        </w:rPr>
      </w:pPr>
    </w:p>
    <w:p w14:paraId="7764CD2C">
      <w:pPr>
        <w:rPr>
          <w:rFonts w:hint="eastAsia" w:ascii="宋体" w:hAnsi="宋体" w:eastAsia="宋体" w:cs="宋体"/>
          <w:b/>
          <w:bCs/>
          <w:sz w:val="48"/>
          <w:szCs w:val="48"/>
          <w:lang w:eastAsia="zh-CN"/>
        </w:rPr>
      </w:pPr>
    </w:p>
    <w:p w14:paraId="2931CEC0">
      <w:pPr>
        <w:ind w:firstLine="964" w:firstLineChars="200"/>
        <w:rPr>
          <w:rFonts w:hint="eastAsia" w:ascii="宋体" w:hAnsi="宋体" w:eastAsia="宋体" w:cs="宋体"/>
          <w:b/>
          <w:bCs/>
          <w:sz w:val="48"/>
          <w:szCs w:val="48"/>
          <w:lang w:eastAsia="zh-CN"/>
        </w:rPr>
      </w:pPr>
    </w:p>
    <w:p w14:paraId="1D3EAF67">
      <w:pPr>
        <w:ind w:firstLine="964" w:firstLineChars="200"/>
        <w:jc w:val="center"/>
        <w:rPr>
          <w:rFonts w:hint="eastAsia" w:ascii="宋体" w:hAnsi="宋体" w:eastAsia="宋体" w:cs="宋体"/>
          <w:b/>
          <w:bCs/>
          <w:sz w:val="48"/>
          <w:szCs w:val="48"/>
          <w:lang w:val="en-US" w:eastAsia="zh-CN"/>
        </w:rPr>
      </w:pPr>
      <w:r>
        <w:rPr>
          <w:rFonts w:hint="eastAsia" w:ascii="宋体" w:hAnsi="宋体" w:eastAsia="宋体" w:cs="宋体"/>
          <w:b/>
          <w:bCs/>
          <w:sz w:val="48"/>
          <w:szCs w:val="48"/>
          <w:lang w:eastAsia="zh-CN"/>
        </w:rPr>
        <w:t>朗坤科技</w:t>
      </w:r>
      <w:r>
        <w:rPr>
          <w:rFonts w:hint="eastAsia" w:ascii="宋体" w:hAnsi="宋体" w:eastAsia="宋体" w:cs="宋体"/>
          <w:b/>
          <w:bCs/>
          <w:sz w:val="48"/>
          <w:szCs w:val="48"/>
          <w:lang w:val="en-US" w:eastAsia="zh-CN"/>
        </w:rPr>
        <w:t>北京通州数智化工厂</w:t>
      </w:r>
    </w:p>
    <w:p w14:paraId="65E24111">
      <w:pPr>
        <w:ind w:firstLine="964" w:firstLineChars="200"/>
        <w:jc w:val="center"/>
        <w:rPr>
          <w:rFonts w:hint="eastAsia" w:ascii="宋体" w:hAnsi="宋体" w:eastAsia="宋体" w:cs="宋体"/>
          <w:b/>
          <w:bCs/>
          <w:sz w:val="48"/>
          <w:szCs w:val="48"/>
          <w:lang w:eastAsia="zh-CN"/>
        </w:rPr>
      </w:pPr>
      <w:r>
        <w:rPr>
          <w:rFonts w:hint="eastAsia" w:ascii="宋体" w:hAnsi="宋体" w:eastAsia="宋体" w:cs="宋体"/>
          <w:b/>
          <w:bCs/>
          <w:sz w:val="48"/>
          <w:szCs w:val="48"/>
          <w:lang w:val="en-US" w:eastAsia="zh-CN"/>
        </w:rPr>
        <w:t>项目（含集团</w:t>
      </w:r>
      <w:r>
        <w:rPr>
          <w:rFonts w:hint="eastAsia" w:ascii="宋体" w:hAnsi="宋体" w:eastAsia="宋体" w:cs="宋体"/>
          <w:b/>
          <w:bCs/>
          <w:sz w:val="48"/>
          <w:szCs w:val="48"/>
        </w:rPr>
        <w:t>平台</w:t>
      </w:r>
      <w:r>
        <w:rPr>
          <w:rFonts w:hint="eastAsia" w:ascii="宋体" w:hAnsi="宋体" w:eastAsia="宋体" w:cs="宋体"/>
          <w:b/>
          <w:bCs/>
          <w:sz w:val="48"/>
          <w:szCs w:val="48"/>
          <w:lang w:eastAsia="zh-CN"/>
        </w:rPr>
        <w:t>）</w:t>
      </w:r>
    </w:p>
    <w:p w14:paraId="1F77E535">
      <w:pPr>
        <w:ind w:firstLine="964" w:firstLineChars="200"/>
        <w:jc w:val="center"/>
        <w:rPr>
          <w:rFonts w:hint="eastAsia" w:ascii="宋体" w:hAnsi="宋体" w:eastAsia="宋体" w:cs="宋体"/>
          <w:b/>
          <w:bCs/>
          <w:sz w:val="48"/>
          <w:szCs w:val="48"/>
          <w:lang w:val="en-US" w:eastAsia="zh-CN"/>
        </w:rPr>
      </w:pPr>
      <w:r>
        <w:rPr>
          <w:rFonts w:hint="eastAsia" w:ascii="宋体" w:hAnsi="宋体" w:eastAsia="宋体" w:cs="宋体"/>
          <w:b/>
          <w:bCs/>
          <w:sz w:val="48"/>
          <w:szCs w:val="48"/>
        </w:rPr>
        <w:t>设计</w:t>
      </w:r>
      <w:r>
        <w:rPr>
          <w:rFonts w:hint="eastAsia" w:ascii="宋体" w:hAnsi="宋体" w:eastAsia="宋体" w:cs="宋体"/>
          <w:b/>
          <w:bCs/>
          <w:sz w:val="48"/>
          <w:szCs w:val="48"/>
          <w:lang w:val="en-US" w:eastAsia="zh-CN"/>
        </w:rPr>
        <w:t>标需求说明书</w:t>
      </w:r>
    </w:p>
    <w:p w14:paraId="6894A913">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602" w:firstLineChars="200"/>
        <w:jc w:val="center"/>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（V6.0）</w:t>
      </w:r>
    </w:p>
    <w:p w14:paraId="3CA8D456">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jc w:val="center"/>
        <w:textAlignment w:val="auto"/>
        <w:rPr>
          <w:rFonts w:hint="eastAsia" w:ascii="宋体" w:hAnsi="宋体" w:eastAsia="宋体" w:cs="宋体"/>
          <w:b/>
          <w:bCs/>
          <w:sz w:val="30"/>
          <w:szCs w:val="30"/>
          <w:lang w:val="en-US" w:eastAsia="zh-CN"/>
        </w:rPr>
      </w:pPr>
      <w:r>
        <w:drawing>
          <wp:inline distT="0" distB="0" distL="114300" distR="114300">
            <wp:extent cx="5465445" cy="2733040"/>
            <wp:effectExtent l="0" t="0" r="8255" b="1016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7"/>
                    <a:stretch>
                      <a:fillRect/>
                    </a:stretch>
                  </pic:blipFill>
                  <pic:spPr>
                    <a:xfrm>
                      <a:off x="0" y="0"/>
                      <a:ext cx="5465445" cy="2733040"/>
                    </a:xfrm>
                    <a:prstGeom prst="rect">
                      <a:avLst/>
                    </a:prstGeom>
                    <a:noFill/>
                    <a:ln w="9525">
                      <a:noFill/>
                    </a:ln>
                  </pic:spPr>
                </pic:pic>
              </a:graphicData>
            </a:graphic>
          </wp:inline>
        </w:drawing>
      </w:r>
    </w:p>
    <w:p w14:paraId="24544070">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3915" w:firstLineChars="1300"/>
        <w:jc w:val="both"/>
        <w:textAlignment w:val="auto"/>
        <w:rPr>
          <w:rFonts w:hint="eastAsia" w:ascii="宋体" w:hAnsi="宋体" w:eastAsia="宋体" w:cs="宋体"/>
          <w:b/>
          <w:bCs/>
          <w:sz w:val="30"/>
          <w:szCs w:val="30"/>
          <w:lang w:val="en-US" w:eastAsia="zh-CN"/>
        </w:rPr>
      </w:pPr>
    </w:p>
    <w:p w14:paraId="659FE9A9">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3915" w:firstLineChars="1300"/>
        <w:jc w:val="both"/>
        <w:textAlignment w:val="auto"/>
        <w:rPr>
          <w:rFonts w:hint="eastAsia" w:ascii="宋体" w:hAnsi="宋体" w:eastAsia="宋体" w:cs="宋体"/>
          <w:b/>
          <w:bCs/>
          <w:sz w:val="30"/>
          <w:szCs w:val="30"/>
          <w:lang w:val="en-US" w:eastAsia="zh-CN"/>
        </w:rPr>
      </w:pPr>
    </w:p>
    <w:p w14:paraId="5B2DF28F">
      <w:pPr>
        <w:ind w:firstLine="0" w:firstLineChars="0"/>
        <w:jc w:val="center"/>
        <w:rPr>
          <w:rFonts w:hint="default" w:ascii="Arial" w:hAnsi="Arial" w:eastAsia="仿宋" w:cs="Arial"/>
          <w:b/>
          <w:bCs/>
          <w:kern w:val="2"/>
          <w:sz w:val="21"/>
          <w:szCs w:val="32"/>
          <w:lang w:val="en-US" w:eastAsia="zh-CN" w:bidi="ar-SA"/>
        </w:rPr>
        <w:sectPr>
          <w:headerReference r:id="rId3" w:type="default"/>
          <w:footerReference r:id="rId4" w:type="default"/>
          <w:pgSz w:w="11906" w:h="16838"/>
          <w:pgMar w:top="1440" w:right="1440" w:bottom="1440" w:left="1440" w:header="708" w:footer="708" w:gutter="0"/>
          <w:cols w:space="720" w:num="1"/>
          <w:docGrid w:linePitch="360" w:charSpace="0"/>
        </w:sectPr>
      </w:pPr>
      <w:r>
        <w:rPr>
          <w:rFonts w:hint="eastAsia" w:ascii="仿宋" w:hAnsi="仿宋" w:eastAsia="仿宋" w:cs="仿宋"/>
          <w:b/>
          <w:bCs/>
          <w:color w:val="000000" w:themeColor="text1"/>
          <w:sz w:val="24"/>
          <w14:textFill>
            <w14:solidFill>
              <w14:schemeClr w14:val="tx1"/>
            </w14:solidFill>
          </w14:textFill>
        </w:rPr>
        <w:t>202</w:t>
      </w:r>
      <w:r>
        <w:rPr>
          <w:rFonts w:hint="eastAsia" w:ascii="仿宋" w:hAnsi="仿宋" w:eastAsia="仿宋" w:cs="仿宋"/>
          <w:b/>
          <w:bCs/>
          <w:color w:val="000000" w:themeColor="text1"/>
          <w:sz w:val="24"/>
          <w:lang w:val="en-US" w:eastAsia="zh-CN"/>
          <w14:textFill>
            <w14:solidFill>
              <w14:schemeClr w14:val="tx1"/>
            </w14:solidFill>
          </w14:textFill>
        </w:rPr>
        <w:t>6</w:t>
      </w:r>
      <w:r>
        <w:rPr>
          <w:rFonts w:hint="eastAsia" w:ascii="仿宋" w:hAnsi="仿宋" w:eastAsia="仿宋" w:cs="仿宋"/>
          <w:b/>
          <w:bCs/>
          <w:color w:val="000000" w:themeColor="text1"/>
          <w:sz w:val="24"/>
          <w14:textFill>
            <w14:solidFill>
              <w14:schemeClr w14:val="tx1"/>
            </w14:solidFill>
          </w14:textFill>
        </w:rPr>
        <w:t>年</w:t>
      </w:r>
      <w:r>
        <w:rPr>
          <w:rFonts w:hint="eastAsia" w:ascii="仿宋" w:hAnsi="仿宋" w:eastAsia="仿宋" w:cs="仿宋"/>
          <w:b/>
          <w:bCs/>
          <w:color w:val="000000" w:themeColor="text1"/>
          <w:sz w:val="24"/>
          <w:lang w:val="en-US" w:eastAsia="zh-CN"/>
          <w14:textFill>
            <w14:solidFill>
              <w14:schemeClr w14:val="tx1"/>
            </w14:solidFill>
          </w14:textFill>
        </w:rPr>
        <w:t>2</w:t>
      </w:r>
      <w:r>
        <w:rPr>
          <w:rFonts w:hint="eastAsia" w:ascii="仿宋" w:hAnsi="仿宋" w:eastAsia="仿宋" w:cs="仿宋"/>
          <w:b/>
          <w:bCs/>
          <w:color w:val="000000" w:themeColor="text1"/>
          <w:sz w:val="24"/>
          <w14:textFill>
            <w14:solidFill>
              <w14:schemeClr w14:val="tx1"/>
            </w14:solidFill>
          </w14:textFill>
        </w:rPr>
        <w:t>月</w:t>
      </w:r>
      <w:r>
        <w:rPr>
          <w:rFonts w:hint="eastAsia" w:ascii="仿宋" w:hAnsi="仿宋" w:eastAsia="仿宋" w:cs="仿宋"/>
          <w:b/>
          <w:bCs/>
          <w:color w:val="000000" w:themeColor="text1"/>
          <w:sz w:val="24"/>
          <w:lang w:val="en-US" w:eastAsia="zh-CN"/>
          <w14:textFill>
            <w14:solidFill>
              <w14:schemeClr w14:val="tx1"/>
            </w14:solidFill>
          </w14:textFill>
        </w:rPr>
        <w:t>2日</w:t>
      </w:r>
      <w:bookmarkStart w:id="205" w:name="_GoBack"/>
      <w:bookmarkEnd w:id="205"/>
    </w:p>
    <w:p w14:paraId="4CE0D9A1">
      <w:pPr>
        <w:ind w:firstLine="0" w:firstLineChars="0"/>
        <w:jc w:val="both"/>
        <w:rPr>
          <w:rFonts w:hint="eastAsia" w:ascii="仿宋" w:hAnsi="仿宋" w:eastAsia="仿宋" w:cs="仿宋"/>
          <w:color w:val="000000" w:themeColor="text1"/>
          <w:sz w:val="24"/>
          <w14:textFill>
            <w14:solidFill>
              <w14:schemeClr w14:val="tx1"/>
            </w14:solidFill>
          </w14:textFill>
        </w:rPr>
      </w:pPr>
    </w:p>
    <w:p w14:paraId="46FD0D03">
      <w:pPr>
        <w:ind w:firstLine="0" w:firstLineChars="0"/>
        <w:jc w:val="both"/>
        <w:rPr>
          <w:rFonts w:hint="eastAsia" w:ascii="仿宋" w:hAnsi="仿宋" w:eastAsia="仿宋" w:cs="仿宋"/>
          <w:color w:val="000000" w:themeColor="text1"/>
          <w:sz w:val="24"/>
          <w14:textFill>
            <w14:solidFill>
              <w14:schemeClr w14:val="tx1"/>
            </w14:solidFill>
          </w14:textFill>
        </w:rPr>
      </w:pPr>
    </w:p>
    <w:sdt>
      <w:sdtPr>
        <w:rPr>
          <w:rFonts w:ascii="宋体" w:hAnsi="宋体" w:eastAsia="宋体" w:cstheme="minorBidi"/>
          <w:kern w:val="2"/>
          <w:sz w:val="32"/>
          <w:szCs w:val="40"/>
          <w:lang w:val="en-US" w:eastAsia="zh-CN" w:bidi="ar-SA"/>
        </w:rPr>
        <w:id w:val="147476056"/>
        <w15:color w:val="DBDBDB"/>
        <w:docPartObj>
          <w:docPartGallery w:val="Table of Contents"/>
          <w:docPartUnique/>
        </w:docPartObj>
      </w:sdtPr>
      <w:sdtEndPr>
        <w:rPr>
          <w:rFonts w:ascii="宋体" w:hAnsi="宋体" w:eastAsia="宋体" w:cstheme="minorBidi"/>
          <w:kern w:val="2"/>
          <w:sz w:val="32"/>
          <w:szCs w:val="40"/>
          <w:lang w:val="en-US" w:eastAsia="zh-CN" w:bidi="ar-SA"/>
        </w:rPr>
      </w:sdtEndPr>
      <w:sdtContent>
        <w:p w14:paraId="1A73E405">
          <w:pPr>
            <w:spacing w:before="0" w:beforeLines="0" w:after="0" w:afterLines="0" w:line="240" w:lineRule="auto"/>
            <w:ind w:left="0" w:leftChars="0" w:right="0" w:rightChars="0" w:firstLine="0" w:firstLineChars="0"/>
            <w:jc w:val="center"/>
            <w:rPr>
              <w:sz w:val="32"/>
              <w:szCs w:val="40"/>
            </w:rPr>
          </w:pPr>
          <w:r>
            <w:rPr>
              <w:rFonts w:ascii="宋体" w:hAnsi="宋体" w:eastAsia="宋体"/>
              <w:sz w:val="32"/>
              <w:szCs w:val="40"/>
            </w:rPr>
            <w:t>目录</w:t>
          </w:r>
        </w:p>
        <w:p w14:paraId="0924ACC5">
          <w:pPr>
            <w:pStyle w:val="9"/>
            <w:tabs>
              <w:tab w:val="right" w:leader="dot" w:pos="9026"/>
            </w:tabs>
          </w:pPr>
          <w:r>
            <w:fldChar w:fldCharType="begin"/>
          </w:r>
          <w:r>
            <w:instrText xml:space="preserve">TOC \o "1-2" \h \u </w:instrText>
          </w:r>
          <w:r>
            <w:fldChar w:fldCharType="separate"/>
          </w:r>
          <w:r>
            <w:fldChar w:fldCharType="begin"/>
          </w:r>
          <w:r>
            <w:instrText xml:space="preserve"> HYPERLINK \l _Toc30355 </w:instrText>
          </w:r>
          <w:r>
            <w:fldChar w:fldCharType="separate"/>
          </w:r>
          <w:r>
            <w:rPr>
              <w:rFonts w:hint="eastAsia" w:ascii="宋体" w:hAnsi="宋体" w:eastAsia="宋体" w:cs="宋体"/>
              <w:bCs w:val="0"/>
              <w:szCs w:val="32"/>
              <w:lang w:val="en-US" w:eastAsia="zh-CN"/>
            </w:rPr>
            <w:t>一、 前言</w:t>
          </w:r>
          <w:r>
            <w:tab/>
          </w:r>
          <w:r>
            <w:fldChar w:fldCharType="begin"/>
          </w:r>
          <w:r>
            <w:instrText xml:space="preserve"> PAGEREF _Toc30355 \h </w:instrText>
          </w:r>
          <w:r>
            <w:fldChar w:fldCharType="separate"/>
          </w:r>
          <w:r>
            <w:t>3</w:t>
          </w:r>
          <w:r>
            <w:fldChar w:fldCharType="end"/>
          </w:r>
          <w:r>
            <w:fldChar w:fldCharType="end"/>
          </w:r>
        </w:p>
        <w:p w14:paraId="32D15C33">
          <w:pPr>
            <w:pStyle w:val="10"/>
            <w:tabs>
              <w:tab w:val="right" w:leader="dot" w:pos="9026"/>
            </w:tabs>
          </w:pPr>
          <w:r>
            <w:fldChar w:fldCharType="begin"/>
          </w:r>
          <w:r>
            <w:instrText xml:space="preserve"> HYPERLINK \l _Toc12931 </w:instrText>
          </w:r>
          <w:r>
            <w:fldChar w:fldCharType="separate"/>
          </w:r>
          <w:r>
            <w:rPr>
              <w:rFonts w:hint="eastAsia" w:ascii="宋体" w:hAnsi="宋体" w:eastAsia="宋体" w:cs="宋体"/>
              <w:szCs w:val="30"/>
              <w:lang w:val="en-US" w:eastAsia="zh-CN"/>
            </w:rPr>
            <w:t>1.1 设计标建设内容概述</w:t>
          </w:r>
          <w:r>
            <w:tab/>
          </w:r>
          <w:r>
            <w:fldChar w:fldCharType="begin"/>
          </w:r>
          <w:r>
            <w:instrText xml:space="preserve"> PAGEREF _Toc12931 \h </w:instrText>
          </w:r>
          <w:r>
            <w:fldChar w:fldCharType="separate"/>
          </w:r>
          <w:r>
            <w:t>3</w:t>
          </w:r>
          <w:r>
            <w:fldChar w:fldCharType="end"/>
          </w:r>
          <w:r>
            <w:fldChar w:fldCharType="end"/>
          </w:r>
        </w:p>
        <w:p w14:paraId="45F52138">
          <w:pPr>
            <w:pStyle w:val="10"/>
            <w:tabs>
              <w:tab w:val="right" w:leader="dot" w:pos="9026"/>
            </w:tabs>
          </w:pPr>
          <w:r>
            <w:fldChar w:fldCharType="begin"/>
          </w:r>
          <w:r>
            <w:instrText xml:space="preserve"> HYPERLINK \l _Toc25437 </w:instrText>
          </w:r>
          <w:r>
            <w:fldChar w:fldCharType="separate"/>
          </w:r>
          <w:r>
            <w:rPr>
              <w:rFonts w:hint="eastAsia" w:ascii="宋体" w:hAnsi="宋体" w:eastAsia="宋体" w:cs="宋体"/>
              <w:szCs w:val="30"/>
              <w:lang w:val="en-US" w:eastAsia="zh-CN"/>
            </w:rPr>
            <w:t>1.2 设计标工作内容与交付要求</w:t>
          </w:r>
          <w:r>
            <w:tab/>
          </w:r>
          <w:r>
            <w:fldChar w:fldCharType="begin"/>
          </w:r>
          <w:r>
            <w:instrText xml:space="preserve"> PAGEREF _Toc25437 \h </w:instrText>
          </w:r>
          <w:r>
            <w:fldChar w:fldCharType="separate"/>
          </w:r>
          <w:r>
            <w:t>4</w:t>
          </w:r>
          <w:r>
            <w:fldChar w:fldCharType="end"/>
          </w:r>
          <w:r>
            <w:fldChar w:fldCharType="end"/>
          </w:r>
        </w:p>
        <w:p w14:paraId="5483C301">
          <w:pPr>
            <w:pStyle w:val="10"/>
            <w:tabs>
              <w:tab w:val="right" w:leader="dot" w:pos="9026"/>
            </w:tabs>
          </w:pPr>
          <w:r>
            <w:fldChar w:fldCharType="begin"/>
          </w:r>
          <w:r>
            <w:instrText xml:space="preserve"> HYPERLINK \l _Toc21181 </w:instrText>
          </w:r>
          <w:r>
            <w:fldChar w:fldCharType="separate"/>
          </w:r>
          <w:r>
            <w:rPr>
              <w:rFonts w:hint="eastAsia" w:ascii="宋体" w:hAnsi="宋体" w:eastAsia="宋体" w:cs="宋体"/>
              <w:szCs w:val="30"/>
              <w:lang w:val="en-US" w:eastAsia="zh-CN"/>
            </w:rPr>
            <w:t>1.3 文件适用性与投标人责任说明</w:t>
          </w:r>
          <w:r>
            <w:tab/>
          </w:r>
          <w:r>
            <w:fldChar w:fldCharType="begin"/>
          </w:r>
          <w:r>
            <w:instrText xml:space="preserve"> PAGEREF _Toc21181 \h </w:instrText>
          </w:r>
          <w:r>
            <w:fldChar w:fldCharType="separate"/>
          </w:r>
          <w:r>
            <w:t>5</w:t>
          </w:r>
          <w:r>
            <w:fldChar w:fldCharType="end"/>
          </w:r>
          <w:r>
            <w:fldChar w:fldCharType="end"/>
          </w:r>
        </w:p>
        <w:p w14:paraId="16380FD9">
          <w:pPr>
            <w:pStyle w:val="9"/>
            <w:tabs>
              <w:tab w:val="right" w:leader="dot" w:pos="9026"/>
            </w:tabs>
          </w:pPr>
          <w:r>
            <w:fldChar w:fldCharType="begin"/>
          </w:r>
          <w:r>
            <w:instrText xml:space="preserve"> HYPERLINK \l _Toc12035 </w:instrText>
          </w:r>
          <w:r>
            <w:fldChar w:fldCharType="separate"/>
          </w:r>
          <w:r>
            <w:rPr>
              <w:rFonts w:hint="eastAsia" w:ascii="宋体" w:hAnsi="宋体" w:eastAsia="宋体" w:cs="宋体"/>
              <w:bCs w:val="0"/>
              <w:szCs w:val="32"/>
              <w:lang w:val="en-US" w:eastAsia="zh-CN"/>
            </w:rPr>
            <w:t>二</w:t>
          </w:r>
          <w:r>
            <w:rPr>
              <w:rFonts w:hint="eastAsia" w:ascii="宋体" w:hAnsi="宋体" w:eastAsia="宋体" w:cs="宋体"/>
              <w:bCs w:val="0"/>
              <w:szCs w:val="32"/>
            </w:rPr>
            <w:t>、项目背景与目标</w:t>
          </w:r>
          <w:r>
            <w:tab/>
          </w:r>
          <w:r>
            <w:fldChar w:fldCharType="begin"/>
          </w:r>
          <w:r>
            <w:instrText xml:space="preserve"> PAGEREF _Toc12035 \h </w:instrText>
          </w:r>
          <w:r>
            <w:fldChar w:fldCharType="separate"/>
          </w:r>
          <w:r>
            <w:t>5</w:t>
          </w:r>
          <w:r>
            <w:fldChar w:fldCharType="end"/>
          </w:r>
          <w:r>
            <w:fldChar w:fldCharType="end"/>
          </w:r>
        </w:p>
        <w:p w14:paraId="1974102B">
          <w:pPr>
            <w:pStyle w:val="10"/>
            <w:tabs>
              <w:tab w:val="right" w:leader="dot" w:pos="9026"/>
            </w:tabs>
          </w:pPr>
          <w:r>
            <w:fldChar w:fldCharType="begin"/>
          </w:r>
          <w:r>
            <w:instrText xml:space="preserve"> HYPERLINK \l _Toc19058 </w:instrText>
          </w:r>
          <w:r>
            <w:fldChar w:fldCharType="separate"/>
          </w:r>
          <w:r>
            <w:rPr>
              <w:rFonts w:hint="eastAsia" w:ascii="宋体" w:hAnsi="宋体" w:eastAsia="宋体" w:cs="宋体"/>
              <w:bCs/>
              <w:szCs w:val="30"/>
              <w:lang w:val="en-US" w:eastAsia="zh-CN"/>
            </w:rPr>
            <w:t>2.1</w:t>
          </w:r>
          <w:r>
            <w:rPr>
              <w:rFonts w:hint="eastAsia" w:ascii="宋体" w:hAnsi="宋体" w:eastAsia="宋体" w:cs="宋体"/>
              <w:bCs/>
              <w:szCs w:val="30"/>
            </w:rPr>
            <w:t>项目背景</w:t>
          </w:r>
          <w:r>
            <w:tab/>
          </w:r>
          <w:r>
            <w:fldChar w:fldCharType="begin"/>
          </w:r>
          <w:r>
            <w:instrText xml:space="preserve"> PAGEREF _Toc19058 \h </w:instrText>
          </w:r>
          <w:r>
            <w:fldChar w:fldCharType="separate"/>
          </w:r>
          <w:r>
            <w:t>5</w:t>
          </w:r>
          <w:r>
            <w:fldChar w:fldCharType="end"/>
          </w:r>
          <w:r>
            <w:fldChar w:fldCharType="end"/>
          </w:r>
        </w:p>
        <w:p w14:paraId="5E2C713D">
          <w:pPr>
            <w:pStyle w:val="10"/>
            <w:tabs>
              <w:tab w:val="right" w:leader="dot" w:pos="9026"/>
            </w:tabs>
          </w:pPr>
          <w:r>
            <w:fldChar w:fldCharType="begin"/>
          </w:r>
          <w:r>
            <w:instrText xml:space="preserve"> HYPERLINK \l _Toc6419 </w:instrText>
          </w:r>
          <w:r>
            <w:fldChar w:fldCharType="separate"/>
          </w:r>
          <w:r>
            <w:rPr>
              <w:rFonts w:hint="eastAsia" w:ascii="宋体" w:hAnsi="宋体" w:eastAsia="宋体" w:cs="宋体"/>
              <w:bCs/>
              <w:szCs w:val="30"/>
              <w:lang w:val="en-US" w:eastAsia="zh-CN"/>
            </w:rPr>
            <w:t>2.2 痛点与需求</w:t>
          </w:r>
          <w:r>
            <w:tab/>
          </w:r>
          <w:r>
            <w:fldChar w:fldCharType="begin"/>
          </w:r>
          <w:r>
            <w:instrText xml:space="preserve"> PAGEREF _Toc6419 \h </w:instrText>
          </w:r>
          <w:r>
            <w:fldChar w:fldCharType="separate"/>
          </w:r>
          <w:r>
            <w:t>6</w:t>
          </w:r>
          <w:r>
            <w:fldChar w:fldCharType="end"/>
          </w:r>
          <w:r>
            <w:fldChar w:fldCharType="end"/>
          </w:r>
        </w:p>
        <w:p w14:paraId="675E5778">
          <w:pPr>
            <w:pStyle w:val="10"/>
            <w:tabs>
              <w:tab w:val="right" w:leader="dot" w:pos="9026"/>
            </w:tabs>
          </w:pPr>
          <w:r>
            <w:fldChar w:fldCharType="begin"/>
          </w:r>
          <w:r>
            <w:instrText xml:space="preserve"> HYPERLINK \l _Toc30038 </w:instrText>
          </w:r>
          <w:r>
            <w:fldChar w:fldCharType="separate"/>
          </w:r>
          <w:r>
            <w:rPr>
              <w:rFonts w:hint="eastAsia" w:ascii="宋体" w:hAnsi="宋体" w:eastAsia="宋体" w:cs="宋体"/>
              <w:szCs w:val="30"/>
              <w:lang w:val="en-US" w:eastAsia="zh-CN"/>
            </w:rPr>
            <w:t>2.3 项目意义</w:t>
          </w:r>
          <w:r>
            <w:tab/>
          </w:r>
          <w:r>
            <w:fldChar w:fldCharType="begin"/>
          </w:r>
          <w:r>
            <w:instrText xml:space="preserve"> PAGEREF _Toc30038 \h </w:instrText>
          </w:r>
          <w:r>
            <w:fldChar w:fldCharType="separate"/>
          </w:r>
          <w:r>
            <w:t>7</w:t>
          </w:r>
          <w:r>
            <w:fldChar w:fldCharType="end"/>
          </w:r>
          <w:r>
            <w:fldChar w:fldCharType="end"/>
          </w:r>
        </w:p>
        <w:p w14:paraId="2ECEF69D">
          <w:pPr>
            <w:pStyle w:val="10"/>
            <w:tabs>
              <w:tab w:val="right" w:leader="dot" w:pos="9026"/>
            </w:tabs>
          </w:pPr>
          <w:r>
            <w:fldChar w:fldCharType="begin"/>
          </w:r>
          <w:r>
            <w:instrText xml:space="preserve"> HYPERLINK \l _Toc18250 </w:instrText>
          </w:r>
          <w:r>
            <w:fldChar w:fldCharType="separate"/>
          </w:r>
          <w:r>
            <w:rPr>
              <w:rFonts w:hint="eastAsia" w:ascii="宋体" w:hAnsi="宋体" w:eastAsia="宋体" w:cs="宋体"/>
              <w:szCs w:val="30"/>
              <w:lang w:val="en-US" w:eastAsia="zh-CN"/>
            </w:rPr>
            <w:t>2.4设计目标</w:t>
          </w:r>
          <w:r>
            <w:tab/>
          </w:r>
          <w:r>
            <w:fldChar w:fldCharType="begin"/>
          </w:r>
          <w:r>
            <w:instrText xml:space="preserve"> PAGEREF _Toc18250 \h </w:instrText>
          </w:r>
          <w:r>
            <w:fldChar w:fldCharType="separate"/>
          </w:r>
          <w:r>
            <w:t>8</w:t>
          </w:r>
          <w:r>
            <w:fldChar w:fldCharType="end"/>
          </w:r>
          <w:r>
            <w:fldChar w:fldCharType="end"/>
          </w:r>
        </w:p>
        <w:p w14:paraId="051A026E">
          <w:pPr>
            <w:pStyle w:val="9"/>
            <w:tabs>
              <w:tab w:val="right" w:leader="dot" w:pos="9026"/>
            </w:tabs>
          </w:pPr>
          <w:r>
            <w:fldChar w:fldCharType="begin"/>
          </w:r>
          <w:r>
            <w:instrText xml:space="preserve"> HYPERLINK \l _Toc8102 </w:instrText>
          </w:r>
          <w:r>
            <w:fldChar w:fldCharType="separate"/>
          </w:r>
          <w:r>
            <w:rPr>
              <w:rFonts w:hint="eastAsia" w:ascii="宋体" w:hAnsi="宋体" w:eastAsia="宋体" w:cs="宋体"/>
              <w:bCs w:val="0"/>
              <w:szCs w:val="32"/>
              <w:lang w:val="en-US" w:eastAsia="zh-CN"/>
            </w:rPr>
            <w:t>三</w:t>
          </w:r>
          <w:r>
            <w:rPr>
              <w:rFonts w:hint="eastAsia" w:ascii="宋体" w:hAnsi="宋体" w:eastAsia="宋体" w:cs="宋体"/>
              <w:bCs w:val="0"/>
              <w:szCs w:val="32"/>
            </w:rPr>
            <w:t>、设计范围与核心业务场景</w:t>
          </w:r>
          <w:r>
            <w:tab/>
          </w:r>
          <w:r>
            <w:fldChar w:fldCharType="begin"/>
          </w:r>
          <w:r>
            <w:instrText xml:space="preserve"> PAGEREF _Toc8102 \h </w:instrText>
          </w:r>
          <w:r>
            <w:fldChar w:fldCharType="separate"/>
          </w:r>
          <w:r>
            <w:t>9</w:t>
          </w:r>
          <w:r>
            <w:fldChar w:fldCharType="end"/>
          </w:r>
          <w:r>
            <w:fldChar w:fldCharType="end"/>
          </w:r>
        </w:p>
        <w:p w14:paraId="14A42023">
          <w:pPr>
            <w:pStyle w:val="10"/>
            <w:tabs>
              <w:tab w:val="right" w:leader="dot" w:pos="9026"/>
            </w:tabs>
          </w:pPr>
          <w:r>
            <w:fldChar w:fldCharType="begin"/>
          </w:r>
          <w:r>
            <w:instrText xml:space="preserve"> HYPERLINK \l _Toc25758 </w:instrText>
          </w:r>
          <w:r>
            <w:fldChar w:fldCharType="separate"/>
          </w:r>
          <w:r>
            <w:rPr>
              <w:rFonts w:hint="eastAsia" w:ascii="宋体" w:hAnsi="宋体" w:eastAsia="宋体" w:cs="宋体"/>
              <w:szCs w:val="30"/>
              <w:lang w:val="en-US" w:eastAsia="zh-CN"/>
            </w:rPr>
            <w:t>3.1设计范围</w:t>
          </w:r>
          <w:r>
            <w:tab/>
          </w:r>
          <w:r>
            <w:fldChar w:fldCharType="begin"/>
          </w:r>
          <w:r>
            <w:instrText xml:space="preserve"> PAGEREF _Toc25758 \h </w:instrText>
          </w:r>
          <w:r>
            <w:fldChar w:fldCharType="separate"/>
          </w:r>
          <w:r>
            <w:t>9</w:t>
          </w:r>
          <w:r>
            <w:fldChar w:fldCharType="end"/>
          </w:r>
          <w:r>
            <w:fldChar w:fldCharType="end"/>
          </w:r>
        </w:p>
        <w:p w14:paraId="73953E7B">
          <w:pPr>
            <w:pStyle w:val="10"/>
            <w:tabs>
              <w:tab w:val="right" w:leader="dot" w:pos="9026"/>
            </w:tabs>
          </w:pPr>
          <w:r>
            <w:fldChar w:fldCharType="begin"/>
          </w:r>
          <w:r>
            <w:instrText xml:space="preserve"> HYPERLINK \l _Toc16768 </w:instrText>
          </w:r>
          <w:r>
            <w:fldChar w:fldCharType="separate"/>
          </w:r>
          <w:r>
            <w:rPr>
              <w:rFonts w:hint="eastAsia" w:ascii="宋体" w:hAnsi="宋体" w:eastAsia="宋体" w:cs="宋体"/>
              <w:lang w:val="en-US" w:eastAsia="zh-CN"/>
            </w:rPr>
            <w:t>3.2 核心业务场景</w:t>
          </w:r>
          <w:r>
            <w:tab/>
          </w:r>
          <w:r>
            <w:fldChar w:fldCharType="begin"/>
          </w:r>
          <w:r>
            <w:instrText xml:space="preserve"> PAGEREF _Toc16768 \h </w:instrText>
          </w:r>
          <w:r>
            <w:fldChar w:fldCharType="separate"/>
          </w:r>
          <w:r>
            <w:t>9</w:t>
          </w:r>
          <w:r>
            <w:fldChar w:fldCharType="end"/>
          </w:r>
          <w:r>
            <w:fldChar w:fldCharType="end"/>
          </w:r>
        </w:p>
        <w:p w14:paraId="5607FCAA">
          <w:pPr>
            <w:pStyle w:val="10"/>
            <w:tabs>
              <w:tab w:val="right" w:leader="dot" w:pos="9026"/>
            </w:tabs>
          </w:pPr>
          <w:r>
            <w:fldChar w:fldCharType="begin"/>
          </w:r>
          <w:r>
            <w:instrText xml:space="preserve"> HYPERLINK \l _Toc9644 </w:instrText>
          </w:r>
          <w:r>
            <w:fldChar w:fldCharType="separate"/>
          </w:r>
          <w:r>
            <w:rPr>
              <w:rFonts w:hint="eastAsia" w:ascii="宋体" w:hAnsi="宋体" w:eastAsia="宋体" w:cs="宋体"/>
              <w:lang w:val="en-US" w:eastAsia="zh-CN"/>
            </w:rPr>
            <w:t>3.3 需求清单</w:t>
          </w:r>
          <w:r>
            <w:tab/>
          </w:r>
          <w:r>
            <w:fldChar w:fldCharType="begin"/>
          </w:r>
          <w:r>
            <w:instrText xml:space="preserve"> PAGEREF _Toc9644 \h </w:instrText>
          </w:r>
          <w:r>
            <w:fldChar w:fldCharType="separate"/>
          </w:r>
          <w:r>
            <w:t>11</w:t>
          </w:r>
          <w:r>
            <w:fldChar w:fldCharType="end"/>
          </w:r>
          <w:r>
            <w:fldChar w:fldCharType="end"/>
          </w:r>
        </w:p>
        <w:p w14:paraId="339C8492">
          <w:pPr>
            <w:pStyle w:val="9"/>
            <w:tabs>
              <w:tab w:val="right" w:leader="dot" w:pos="9026"/>
            </w:tabs>
          </w:pPr>
          <w:r>
            <w:fldChar w:fldCharType="begin"/>
          </w:r>
          <w:r>
            <w:instrText xml:space="preserve"> HYPERLINK \l _Toc19999 </w:instrText>
          </w:r>
          <w:r>
            <w:fldChar w:fldCharType="separate"/>
          </w:r>
          <w:r>
            <w:rPr>
              <w:rFonts w:hint="eastAsia" w:ascii="宋体" w:hAnsi="宋体" w:eastAsia="宋体" w:cs="宋体"/>
              <w:szCs w:val="32"/>
              <w:lang w:val="en-US" w:eastAsia="zh-CN"/>
            </w:rPr>
            <w:t>四</w:t>
          </w:r>
          <w:r>
            <w:rPr>
              <w:rFonts w:hint="eastAsia" w:ascii="宋体" w:hAnsi="宋体" w:eastAsia="宋体" w:cs="宋体"/>
              <w:szCs w:val="32"/>
            </w:rPr>
            <w:t>、总体设计要求</w:t>
          </w:r>
          <w:r>
            <w:tab/>
          </w:r>
          <w:r>
            <w:fldChar w:fldCharType="begin"/>
          </w:r>
          <w:r>
            <w:instrText xml:space="preserve"> PAGEREF _Toc19999 \h </w:instrText>
          </w:r>
          <w:r>
            <w:fldChar w:fldCharType="separate"/>
          </w:r>
          <w:r>
            <w:t>15</w:t>
          </w:r>
          <w:r>
            <w:fldChar w:fldCharType="end"/>
          </w:r>
          <w:r>
            <w:fldChar w:fldCharType="end"/>
          </w:r>
        </w:p>
        <w:p w14:paraId="4B8309DB">
          <w:pPr>
            <w:pStyle w:val="10"/>
            <w:tabs>
              <w:tab w:val="right" w:leader="dot" w:pos="9026"/>
            </w:tabs>
          </w:pPr>
          <w:r>
            <w:fldChar w:fldCharType="begin"/>
          </w:r>
          <w:r>
            <w:instrText xml:space="preserve"> HYPERLINK \l _Toc17808 </w:instrText>
          </w:r>
          <w:r>
            <w:fldChar w:fldCharType="separate"/>
          </w:r>
          <w:r>
            <w:rPr>
              <w:rFonts w:hint="eastAsia" w:ascii="宋体" w:hAnsi="宋体" w:eastAsia="宋体" w:cs="宋体"/>
              <w:szCs w:val="30"/>
              <w:lang w:val="en-US" w:eastAsia="zh-CN"/>
            </w:rPr>
            <w:t>4.1设计原则</w:t>
          </w:r>
          <w:r>
            <w:tab/>
          </w:r>
          <w:r>
            <w:fldChar w:fldCharType="begin"/>
          </w:r>
          <w:r>
            <w:instrText xml:space="preserve"> PAGEREF _Toc17808 \h </w:instrText>
          </w:r>
          <w:r>
            <w:fldChar w:fldCharType="separate"/>
          </w:r>
          <w:r>
            <w:t>15</w:t>
          </w:r>
          <w:r>
            <w:fldChar w:fldCharType="end"/>
          </w:r>
          <w:r>
            <w:fldChar w:fldCharType="end"/>
          </w:r>
        </w:p>
        <w:p w14:paraId="64F56C75">
          <w:pPr>
            <w:pStyle w:val="10"/>
            <w:tabs>
              <w:tab w:val="right" w:leader="dot" w:pos="9026"/>
            </w:tabs>
          </w:pPr>
          <w:r>
            <w:fldChar w:fldCharType="begin"/>
          </w:r>
          <w:r>
            <w:instrText xml:space="preserve"> HYPERLINK \l _Toc32214 </w:instrText>
          </w:r>
          <w:r>
            <w:fldChar w:fldCharType="separate"/>
          </w:r>
          <w:r>
            <w:rPr>
              <w:rFonts w:hint="eastAsia" w:ascii="宋体" w:hAnsi="宋体" w:eastAsia="宋体" w:cs="宋体"/>
              <w:szCs w:val="30"/>
              <w:lang w:val="en-US" w:eastAsia="zh-CN"/>
            </w:rPr>
            <w:t>4.2技术架构要求</w:t>
          </w:r>
          <w:r>
            <w:tab/>
          </w:r>
          <w:r>
            <w:fldChar w:fldCharType="begin"/>
          </w:r>
          <w:r>
            <w:instrText xml:space="preserve"> PAGEREF _Toc32214 \h </w:instrText>
          </w:r>
          <w:r>
            <w:fldChar w:fldCharType="separate"/>
          </w:r>
          <w:r>
            <w:t>15</w:t>
          </w:r>
          <w:r>
            <w:fldChar w:fldCharType="end"/>
          </w:r>
          <w:r>
            <w:fldChar w:fldCharType="end"/>
          </w:r>
        </w:p>
        <w:p w14:paraId="67C7C53C">
          <w:pPr>
            <w:pStyle w:val="10"/>
            <w:tabs>
              <w:tab w:val="right" w:leader="dot" w:pos="9026"/>
            </w:tabs>
          </w:pPr>
          <w:r>
            <w:fldChar w:fldCharType="begin"/>
          </w:r>
          <w:r>
            <w:instrText xml:space="preserve"> HYPERLINK \l _Toc26213 </w:instrText>
          </w:r>
          <w:r>
            <w:fldChar w:fldCharType="separate"/>
          </w:r>
          <w:r>
            <w:rPr>
              <w:rFonts w:hint="eastAsia" w:ascii="宋体" w:hAnsi="宋体" w:eastAsia="宋体" w:cs="宋体"/>
              <w:szCs w:val="30"/>
              <w:lang w:val="en-US" w:eastAsia="zh-CN"/>
            </w:rPr>
            <w:t>4</w:t>
          </w:r>
          <w:r>
            <w:rPr>
              <w:rFonts w:ascii="宋体" w:hAnsi="宋体" w:eastAsia="宋体" w:cs="宋体"/>
              <w:szCs w:val="30"/>
            </w:rPr>
            <w:t>.3 数字孪生与</w:t>
          </w:r>
          <w:r>
            <w:rPr>
              <w:rFonts w:hint="eastAsia" w:ascii="宋体" w:hAnsi="宋体" w:eastAsia="宋体" w:cs="宋体"/>
              <w:szCs w:val="30"/>
              <w:lang w:val="en-US" w:eastAsia="zh-CN"/>
            </w:rPr>
            <w:t>AI应用</w:t>
          </w:r>
          <w:r>
            <w:rPr>
              <w:rFonts w:ascii="宋体" w:hAnsi="宋体" w:eastAsia="宋体" w:cs="宋体"/>
              <w:szCs w:val="30"/>
            </w:rPr>
            <w:t>要求</w:t>
          </w:r>
          <w:r>
            <w:tab/>
          </w:r>
          <w:r>
            <w:fldChar w:fldCharType="begin"/>
          </w:r>
          <w:r>
            <w:instrText xml:space="preserve"> PAGEREF _Toc26213 \h </w:instrText>
          </w:r>
          <w:r>
            <w:fldChar w:fldCharType="separate"/>
          </w:r>
          <w:r>
            <w:t>16</w:t>
          </w:r>
          <w:r>
            <w:fldChar w:fldCharType="end"/>
          </w:r>
          <w:r>
            <w:fldChar w:fldCharType="end"/>
          </w:r>
        </w:p>
        <w:p w14:paraId="32CAEFBD">
          <w:pPr>
            <w:pStyle w:val="10"/>
            <w:tabs>
              <w:tab w:val="right" w:leader="dot" w:pos="9026"/>
            </w:tabs>
          </w:pPr>
          <w:r>
            <w:fldChar w:fldCharType="begin"/>
          </w:r>
          <w:r>
            <w:instrText xml:space="preserve"> HYPERLINK \l _Toc28927 </w:instrText>
          </w:r>
          <w:r>
            <w:fldChar w:fldCharType="separate"/>
          </w:r>
          <w:r>
            <w:rPr>
              <w:rFonts w:hint="eastAsia" w:ascii="宋体" w:hAnsi="宋体" w:eastAsia="宋体" w:cs="宋体"/>
              <w:szCs w:val="30"/>
              <w:lang w:val="en-US" w:eastAsia="zh-CN"/>
            </w:rPr>
            <w:t>4</w:t>
          </w:r>
          <w:r>
            <w:rPr>
              <w:rFonts w:ascii="宋体" w:hAnsi="宋体" w:eastAsia="宋体" w:cs="宋体"/>
              <w:szCs w:val="30"/>
            </w:rPr>
            <w:t>.</w:t>
          </w:r>
          <w:r>
            <w:rPr>
              <w:rFonts w:hint="eastAsia" w:ascii="宋体" w:hAnsi="宋体" w:eastAsia="宋体" w:cs="宋体"/>
              <w:szCs w:val="30"/>
              <w:lang w:val="en-US" w:eastAsia="zh-CN"/>
            </w:rPr>
            <w:t>4</w:t>
          </w:r>
          <w:r>
            <w:rPr>
              <w:rFonts w:ascii="宋体" w:hAnsi="宋体" w:eastAsia="宋体" w:cs="宋体"/>
              <w:szCs w:val="30"/>
            </w:rPr>
            <w:t xml:space="preserve"> </w:t>
          </w:r>
          <w:r>
            <w:rPr>
              <w:rFonts w:hint="eastAsia" w:ascii="宋体" w:hAnsi="宋体" w:eastAsia="宋体" w:cs="宋体"/>
              <w:szCs w:val="30"/>
              <w:lang w:val="en-US" w:eastAsia="zh-CN"/>
            </w:rPr>
            <w:t>能源管理与发电自平衡系统设计要求</w:t>
          </w:r>
          <w:r>
            <w:tab/>
          </w:r>
          <w:r>
            <w:fldChar w:fldCharType="begin"/>
          </w:r>
          <w:r>
            <w:instrText xml:space="preserve"> PAGEREF _Toc28927 \h </w:instrText>
          </w:r>
          <w:r>
            <w:fldChar w:fldCharType="separate"/>
          </w:r>
          <w:r>
            <w:t>17</w:t>
          </w:r>
          <w:r>
            <w:fldChar w:fldCharType="end"/>
          </w:r>
          <w:r>
            <w:fldChar w:fldCharType="end"/>
          </w:r>
        </w:p>
        <w:p w14:paraId="174208DD">
          <w:pPr>
            <w:pStyle w:val="10"/>
            <w:tabs>
              <w:tab w:val="right" w:leader="dot" w:pos="9026"/>
            </w:tabs>
          </w:pPr>
          <w:r>
            <w:fldChar w:fldCharType="begin"/>
          </w:r>
          <w:r>
            <w:instrText xml:space="preserve"> HYPERLINK \l _Toc23311 </w:instrText>
          </w:r>
          <w:r>
            <w:fldChar w:fldCharType="separate"/>
          </w:r>
          <w:r>
            <w:rPr>
              <w:rFonts w:hint="eastAsia" w:ascii="宋体" w:hAnsi="宋体" w:eastAsia="宋体" w:cs="宋体"/>
              <w:szCs w:val="24"/>
              <w:lang w:val="en-US" w:eastAsia="zh-CN"/>
            </w:rPr>
            <w:t>4</w:t>
          </w:r>
          <w:r>
            <w:rPr>
              <w:rFonts w:hint="eastAsia" w:ascii="宋体" w:hAnsi="宋体" w:eastAsia="宋体" w:cs="宋体"/>
              <w:szCs w:val="24"/>
            </w:rPr>
            <w:t>.</w:t>
          </w:r>
          <w:r>
            <w:rPr>
              <w:rFonts w:hint="eastAsia" w:ascii="宋体" w:hAnsi="宋体" w:eastAsia="宋体" w:cs="宋体"/>
              <w:szCs w:val="24"/>
              <w:lang w:val="en-US" w:eastAsia="zh-CN"/>
            </w:rPr>
            <w:t>5</w:t>
          </w:r>
          <w:r>
            <w:rPr>
              <w:rFonts w:hint="eastAsia" w:ascii="宋体" w:hAnsi="宋体" w:eastAsia="宋体" w:cs="宋体"/>
              <w:szCs w:val="24"/>
            </w:rPr>
            <w:t xml:space="preserve"> 碳减排管理技术要求</w:t>
          </w:r>
          <w:r>
            <w:tab/>
          </w:r>
          <w:r>
            <w:fldChar w:fldCharType="begin"/>
          </w:r>
          <w:r>
            <w:instrText xml:space="preserve"> PAGEREF _Toc23311 \h </w:instrText>
          </w:r>
          <w:r>
            <w:fldChar w:fldCharType="separate"/>
          </w:r>
          <w:r>
            <w:t>17</w:t>
          </w:r>
          <w:r>
            <w:fldChar w:fldCharType="end"/>
          </w:r>
          <w:r>
            <w:fldChar w:fldCharType="end"/>
          </w:r>
        </w:p>
        <w:p w14:paraId="10227D77">
          <w:pPr>
            <w:pStyle w:val="9"/>
            <w:tabs>
              <w:tab w:val="right" w:leader="dot" w:pos="9026"/>
            </w:tabs>
          </w:pPr>
          <w:r>
            <w:fldChar w:fldCharType="begin"/>
          </w:r>
          <w:r>
            <w:instrText xml:space="preserve"> HYPERLINK \l _Toc15156 </w:instrText>
          </w:r>
          <w:r>
            <w:fldChar w:fldCharType="separate"/>
          </w:r>
          <w:r>
            <w:rPr>
              <w:rFonts w:hint="eastAsia"/>
              <w:szCs w:val="32"/>
              <w:lang w:val="en-US" w:eastAsia="zh-CN"/>
            </w:rPr>
            <w:t xml:space="preserve">五、 </w:t>
          </w:r>
          <w:r>
            <w:rPr>
              <w:rFonts w:hint="eastAsia" w:ascii="宋体" w:hAnsi="宋体" w:eastAsia="宋体" w:cs="宋体"/>
              <w:bCs/>
              <w:szCs w:val="32"/>
              <w:lang w:val="en-US" w:eastAsia="zh-CN"/>
            </w:rPr>
            <w:t>关键应用体系设计要点</w:t>
          </w:r>
          <w:r>
            <w:tab/>
          </w:r>
          <w:r>
            <w:fldChar w:fldCharType="begin"/>
          </w:r>
          <w:r>
            <w:instrText xml:space="preserve"> PAGEREF _Toc15156 \h </w:instrText>
          </w:r>
          <w:r>
            <w:fldChar w:fldCharType="separate"/>
          </w:r>
          <w:r>
            <w:t>18</w:t>
          </w:r>
          <w:r>
            <w:fldChar w:fldCharType="end"/>
          </w:r>
          <w:r>
            <w:fldChar w:fldCharType="end"/>
          </w:r>
        </w:p>
        <w:p w14:paraId="13AC6341">
          <w:pPr>
            <w:pStyle w:val="10"/>
            <w:tabs>
              <w:tab w:val="right" w:leader="dot" w:pos="9026"/>
            </w:tabs>
          </w:pPr>
          <w:r>
            <w:fldChar w:fldCharType="begin"/>
          </w:r>
          <w:r>
            <w:instrText xml:space="preserve"> HYPERLINK \l _Toc19445 </w:instrText>
          </w:r>
          <w:r>
            <w:fldChar w:fldCharType="separate"/>
          </w:r>
          <w:r>
            <w:rPr>
              <w:rFonts w:hint="eastAsia" w:ascii="宋体" w:hAnsi="宋体" w:eastAsia="宋体" w:cs="宋体"/>
              <w:szCs w:val="30"/>
              <w:lang w:val="en-US" w:eastAsia="zh-CN"/>
            </w:rPr>
            <w:t>5.1集团级管理与决策支撑体系设计要点</w:t>
          </w:r>
          <w:r>
            <w:tab/>
          </w:r>
          <w:r>
            <w:fldChar w:fldCharType="begin"/>
          </w:r>
          <w:r>
            <w:instrText xml:space="preserve"> PAGEREF _Toc19445 \h </w:instrText>
          </w:r>
          <w:r>
            <w:fldChar w:fldCharType="separate"/>
          </w:r>
          <w:r>
            <w:t>18</w:t>
          </w:r>
          <w:r>
            <w:fldChar w:fldCharType="end"/>
          </w:r>
          <w:r>
            <w:fldChar w:fldCharType="end"/>
          </w:r>
        </w:p>
        <w:p w14:paraId="1416A023">
          <w:pPr>
            <w:pStyle w:val="10"/>
            <w:tabs>
              <w:tab w:val="right" w:leader="dot" w:pos="9026"/>
            </w:tabs>
          </w:pPr>
          <w:r>
            <w:fldChar w:fldCharType="begin"/>
          </w:r>
          <w:r>
            <w:instrText xml:space="preserve"> HYPERLINK \l _Toc8593 </w:instrText>
          </w:r>
          <w:r>
            <w:fldChar w:fldCharType="separate"/>
          </w:r>
          <w:r>
            <w:rPr>
              <w:rFonts w:hint="default" w:ascii="宋体" w:hAnsi="宋体" w:eastAsia="宋体" w:cs="宋体"/>
              <w:szCs w:val="30"/>
              <w:lang w:val="en-US" w:eastAsia="zh-CN"/>
            </w:rPr>
            <w:t>5.2 厂区级生产运营应用体系设计要点</w:t>
          </w:r>
          <w:r>
            <w:tab/>
          </w:r>
          <w:r>
            <w:fldChar w:fldCharType="begin"/>
          </w:r>
          <w:r>
            <w:instrText xml:space="preserve"> PAGEREF _Toc8593 \h </w:instrText>
          </w:r>
          <w:r>
            <w:fldChar w:fldCharType="separate"/>
          </w:r>
          <w:r>
            <w:t>19</w:t>
          </w:r>
          <w:r>
            <w:fldChar w:fldCharType="end"/>
          </w:r>
          <w:r>
            <w:fldChar w:fldCharType="end"/>
          </w:r>
        </w:p>
        <w:p w14:paraId="60BA6F4D">
          <w:pPr>
            <w:pStyle w:val="10"/>
            <w:tabs>
              <w:tab w:val="right" w:leader="dot" w:pos="9026"/>
            </w:tabs>
          </w:pPr>
          <w:r>
            <w:fldChar w:fldCharType="begin"/>
          </w:r>
          <w:r>
            <w:instrText xml:space="preserve"> HYPERLINK \l _Toc30414 </w:instrText>
          </w:r>
          <w:r>
            <w:fldChar w:fldCharType="separate"/>
          </w:r>
          <w:r>
            <w:rPr>
              <w:rFonts w:hint="default" w:ascii="宋体" w:hAnsi="宋体" w:eastAsia="宋体" w:cs="宋体"/>
              <w:szCs w:val="30"/>
              <w:lang w:val="en-US" w:eastAsia="zh-CN"/>
            </w:rPr>
            <w:t>5.3 协同支撑与平台通用能力设计要点</w:t>
          </w:r>
          <w:r>
            <w:tab/>
          </w:r>
          <w:r>
            <w:fldChar w:fldCharType="begin"/>
          </w:r>
          <w:r>
            <w:instrText xml:space="preserve"> PAGEREF _Toc30414 \h </w:instrText>
          </w:r>
          <w:r>
            <w:fldChar w:fldCharType="separate"/>
          </w:r>
          <w:r>
            <w:t>21</w:t>
          </w:r>
          <w:r>
            <w:fldChar w:fldCharType="end"/>
          </w:r>
          <w:r>
            <w:fldChar w:fldCharType="end"/>
          </w:r>
        </w:p>
        <w:p w14:paraId="5DFE5AB1">
          <w:pPr>
            <w:pStyle w:val="9"/>
            <w:tabs>
              <w:tab w:val="right" w:leader="dot" w:pos="9026"/>
            </w:tabs>
          </w:pPr>
          <w:r>
            <w:fldChar w:fldCharType="begin"/>
          </w:r>
          <w:r>
            <w:instrText xml:space="preserve"> HYPERLINK \l _Toc27604 </w:instrText>
          </w:r>
          <w:r>
            <w:fldChar w:fldCharType="separate"/>
          </w:r>
          <w:r>
            <w:rPr>
              <w:rFonts w:hint="eastAsia" w:ascii="宋体" w:hAnsi="宋体" w:eastAsia="宋体" w:cs="宋体"/>
              <w:szCs w:val="32"/>
              <w:lang w:val="en-US" w:eastAsia="zh-CN"/>
            </w:rPr>
            <w:t>六</w:t>
          </w:r>
          <w:r>
            <w:rPr>
              <w:rFonts w:hint="eastAsia" w:ascii="宋体" w:hAnsi="宋体" w:eastAsia="宋体" w:cs="宋体"/>
              <w:szCs w:val="32"/>
            </w:rPr>
            <w:t>、数据架构</w:t>
          </w:r>
          <w:r>
            <w:rPr>
              <w:rFonts w:hint="eastAsia" w:ascii="宋体" w:hAnsi="宋体" w:eastAsia="宋体" w:cs="宋体"/>
              <w:szCs w:val="32"/>
              <w:lang w:val="en-US" w:eastAsia="zh-CN"/>
            </w:rPr>
            <w:t>与数据治理</w:t>
          </w:r>
          <w:r>
            <w:rPr>
              <w:rFonts w:hint="eastAsia" w:ascii="宋体" w:hAnsi="宋体" w:eastAsia="宋体" w:cs="宋体"/>
              <w:szCs w:val="32"/>
            </w:rPr>
            <w:t>设计要求</w:t>
          </w:r>
          <w:r>
            <w:tab/>
          </w:r>
          <w:r>
            <w:fldChar w:fldCharType="begin"/>
          </w:r>
          <w:r>
            <w:instrText xml:space="preserve"> PAGEREF _Toc27604 \h </w:instrText>
          </w:r>
          <w:r>
            <w:fldChar w:fldCharType="separate"/>
          </w:r>
          <w:r>
            <w:t>22</w:t>
          </w:r>
          <w:r>
            <w:fldChar w:fldCharType="end"/>
          </w:r>
          <w:r>
            <w:fldChar w:fldCharType="end"/>
          </w:r>
        </w:p>
        <w:p w14:paraId="60ED588C">
          <w:pPr>
            <w:pStyle w:val="10"/>
            <w:tabs>
              <w:tab w:val="right" w:leader="dot" w:pos="9026"/>
            </w:tabs>
          </w:pPr>
          <w:r>
            <w:fldChar w:fldCharType="begin"/>
          </w:r>
          <w:r>
            <w:instrText xml:space="preserve"> HYPERLINK \l _Toc2492 </w:instrText>
          </w:r>
          <w:r>
            <w:fldChar w:fldCharType="separate"/>
          </w:r>
          <w:r>
            <w:rPr>
              <w:rFonts w:hint="eastAsia" w:ascii="宋体" w:hAnsi="宋体" w:eastAsia="宋体" w:cs="宋体"/>
              <w:szCs w:val="30"/>
              <w:lang w:val="en-US" w:eastAsia="zh-CN"/>
            </w:rPr>
            <w:t>6.1数据架构总体原则</w:t>
          </w:r>
          <w:r>
            <w:tab/>
          </w:r>
          <w:r>
            <w:fldChar w:fldCharType="begin"/>
          </w:r>
          <w:r>
            <w:instrText xml:space="preserve"> PAGEREF _Toc2492 \h </w:instrText>
          </w:r>
          <w:r>
            <w:fldChar w:fldCharType="separate"/>
          </w:r>
          <w:r>
            <w:t>22</w:t>
          </w:r>
          <w:r>
            <w:fldChar w:fldCharType="end"/>
          </w:r>
          <w:r>
            <w:fldChar w:fldCharType="end"/>
          </w:r>
        </w:p>
        <w:p w14:paraId="02982C9D">
          <w:pPr>
            <w:pStyle w:val="10"/>
            <w:tabs>
              <w:tab w:val="right" w:leader="dot" w:pos="9026"/>
            </w:tabs>
          </w:pPr>
          <w:r>
            <w:fldChar w:fldCharType="begin"/>
          </w:r>
          <w:r>
            <w:instrText xml:space="preserve"> HYPERLINK \l _Toc26507 </w:instrText>
          </w:r>
          <w:r>
            <w:fldChar w:fldCharType="separate"/>
          </w:r>
          <w:r>
            <w:rPr>
              <w:rFonts w:hint="eastAsia" w:ascii="宋体" w:hAnsi="宋体" w:eastAsia="宋体" w:cs="宋体"/>
              <w:szCs w:val="30"/>
              <w:lang w:val="en-US" w:eastAsia="zh-CN"/>
            </w:rPr>
            <w:t>6.2数据标准与数据治理要求</w:t>
          </w:r>
          <w:r>
            <w:tab/>
          </w:r>
          <w:r>
            <w:fldChar w:fldCharType="begin"/>
          </w:r>
          <w:r>
            <w:instrText xml:space="preserve"> PAGEREF _Toc26507 \h </w:instrText>
          </w:r>
          <w:r>
            <w:fldChar w:fldCharType="separate"/>
          </w:r>
          <w:r>
            <w:t>22</w:t>
          </w:r>
          <w:r>
            <w:fldChar w:fldCharType="end"/>
          </w:r>
          <w:r>
            <w:fldChar w:fldCharType="end"/>
          </w:r>
        </w:p>
        <w:p w14:paraId="0653378D">
          <w:pPr>
            <w:pStyle w:val="10"/>
            <w:tabs>
              <w:tab w:val="right" w:leader="dot" w:pos="9026"/>
            </w:tabs>
          </w:pPr>
          <w:r>
            <w:fldChar w:fldCharType="begin"/>
          </w:r>
          <w:r>
            <w:instrText xml:space="preserve"> HYPERLINK \l _Toc23613 </w:instrText>
          </w:r>
          <w:r>
            <w:fldChar w:fldCharType="separate"/>
          </w:r>
          <w:r>
            <w:rPr>
              <w:rFonts w:hint="eastAsia" w:ascii="宋体" w:hAnsi="宋体" w:eastAsia="宋体" w:cs="宋体"/>
              <w:szCs w:val="30"/>
              <w:lang w:val="en-US" w:eastAsia="zh-CN"/>
            </w:rPr>
            <w:t>6.3 数据流转与存储设计原则</w:t>
          </w:r>
          <w:r>
            <w:tab/>
          </w:r>
          <w:r>
            <w:fldChar w:fldCharType="begin"/>
          </w:r>
          <w:r>
            <w:instrText xml:space="preserve"> PAGEREF _Toc23613 \h </w:instrText>
          </w:r>
          <w:r>
            <w:fldChar w:fldCharType="separate"/>
          </w:r>
          <w:r>
            <w:t>23</w:t>
          </w:r>
          <w:r>
            <w:fldChar w:fldCharType="end"/>
          </w:r>
          <w:r>
            <w:fldChar w:fldCharType="end"/>
          </w:r>
        </w:p>
        <w:p w14:paraId="766DFBF8">
          <w:pPr>
            <w:pStyle w:val="10"/>
            <w:tabs>
              <w:tab w:val="right" w:leader="dot" w:pos="9026"/>
            </w:tabs>
          </w:pPr>
          <w:r>
            <w:fldChar w:fldCharType="begin"/>
          </w:r>
          <w:r>
            <w:instrText xml:space="preserve"> HYPERLINK \l _Toc30135 </w:instrText>
          </w:r>
          <w:r>
            <w:fldChar w:fldCharType="separate"/>
          </w:r>
          <w:r>
            <w:rPr>
              <w:rFonts w:hint="default" w:ascii="宋体" w:hAnsi="宋体" w:eastAsia="宋体" w:cs="宋体"/>
              <w:szCs w:val="30"/>
              <w:lang w:val="en-US" w:eastAsia="zh-CN"/>
            </w:rPr>
            <w:t>6.4 数据分析与数据服务能力要求</w:t>
          </w:r>
          <w:r>
            <w:tab/>
          </w:r>
          <w:r>
            <w:fldChar w:fldCharType="begin"/>
          </w:r>
          <w:r>
            <w:instrText xml:space="preserve"> PAGEREF _Toc30135 \h </w:instrText>
          </w:r>
          <w:r>
            <w:fldChar w:fldCharType="separate"/>
          </w:r>
          <w:r>
            <w:t>23</w:t>
          </w:r>
          <w:r>
            <w:fldChar w:fldCharType="end"/>
          </w:r>
          <w:r>
            <w:fldChar w:fldCharType="end"/>
          </w:r>
        </w:p>
        <w:p w14:paraId="0868384E">
          <w:pPr>
            <w:pStyle w:val="9"/>
            <w:tabs>
              <w:tab w:val="right" w:leader="dot" w:pos="9026"/>
            </w:tabs>
          </w:pPr>
          <w:r>
            <w:fldChar w:fldCharType="begin"/>
          </w:r>
          <w:r>
            <w:instrText xml:space="preserve"> HYPERLINK \l _Toc7366 </w:instrText>
          </w:r>
          <w:r>
            <w:fldChar w:fldCharType="separate"/>
          </w:r>
          <w:r>
            <w:rPr>
              <w:rFonts w:hint="eastAsia" w:ascii="宋体" w:hAnsi="宋体" w:eastAsia="宋体" w:cs="宋体"/>
              <w:bCs/>
              <w:szCs w:val="32"/>
              <w:lang w:val="en-US" w:eastAsia="zh-CN"/>
            </w:rPr>
            <w:t>七、</w:t>
          </w:r>
          <w:r>
            <w:rPr>
              <w:rFonts w:hint="eastAsia" w:ascii="宋体" w:hAnsi="宋体" w:eastAsia="宋体" w:cs="宋体"/>
              <w:bCs/>
              <w:szCs w:val="32"/>
            </w:rPr>
            <w:t>安全</w:t>
          </w:r>
          <w:r>
            <w:rPr>
              <w:rFonts w:hint="eastAsia" w:ascii="宋体" w:hAnsi="宋体" w:eastAsia="宋体" w:cs="宋体"/>
              <w:bCs/>
              <w:szCs w:val="32"/>
              <w:lang w:eastAsia="zh-CN"/>
            </w:rPr>
            <w:t>、</w:t>
          </w:r>
          <w:r>
            <w:rPr>
              <w:rFonts w:hint="eastAsia" w:ascii="宋体" w:hAnsi="宋体" w:eastAsia="宋体" w:cs="宋体"/>
              <w:bCs/>
              <w:szCs w:val="32"/>
            </w:rPr>
            <w:t>合规</w:t>
          </w:r>
          <w:r>
            <w:rPr>
              <w:rFonts w:hint="eastAsia" w:ascii="宋体" w:hAnsi="宋体" w:eastAsia="宋体" w:cs="宋体"/>
              <w:bCs/>
              <w:szCs w:val="32"/>
              <w:lang w:val="en-US" w:eastAsia="zh-CN"/>
            </w:rPr>
            <w:t>与监管对接</w:t>
          </w:r>
          <w:r>
            <w:rPr>
              <w:rFonts w:hint="eastAsia" w:ascii="宋体" w:hAnsi="宋体" w:eastAsia="宋体" w:cs="宋体"/>
              <w:bCs/>
              <w:szCs w:val="32"/>
            </w:rPr>
            <w:t>设计要求</w:t>
          </w:r>
          <w:r>
            <w:tab/>
          </w:r>
          <w:r>
            <w:fldChar w:fldCharType="begin"/>
          </w:r>
          <w:r>
            <w:instrText xml:space="preserve"> PAGEREF _Toc7366 \h </w:instrText>
          </w:r>
          <w:r>
            <w:fldChar w:fldCharType="separate"/>
          </w:r>
          <w:r>
            <w:t>24</w:t>
          </w:r>
          <w:r>
            <w:fldChar w:fldCharType="end"/>
          </w:r>
          <w:r>
            <w:fldChar w:fldCharType="end"/>
          </w:r>
        </w:p>
        <w:p w14:paraId="0DD4E129">
          <w:pPr>
            <w:pStyle w:val="10"/>
            <w:tabs>
              <w:tab w:val="right" w:leader="dot" w:pos="9026"/>
            </w:tabs>
          </w:pPr>
          <w:r>
            <w:fldChar w:fldCharType="begin"/>
          </w:r>
          <w:r>
            <w:instrText xml:space="preserve"> HYPERLINK \l _Toc32400 </w:instrText>
          </w:r>
          <w:r>
            <w:fldChar w:fldCharType="separate"/>
          </w:r>
          <w:r>
            <w:rPr>
              <w:rFonts w:hint="eastAsia" w:ascii="宋体" w:hAnsi="宋体" w:eastAsia="宋体" w:cs="宋体"/>
              <w:szCs w:val="30"/>
              <w:lang w:val="en-US" w:eastAsia="zh-CN"/>
            </w:rPr>
            <w:t>7.1 数据安全与系统安全设计原则</w:t>
          </w:r>
          <w:r>
            <w:tab/>
          </w:r>
          <w:r>
            <w:fldChar w:fldCharType="begin"/>
          </w:r>
          <w:r>
            <w:instrText xml:space="preserve"> PAGEREF _Toc32400 \h </w:instrText>
          </w:r>
          <w:r>
            <w:fldChar w:fldCharType="separate"/>
          </w:r>
          <w:r>
            <w:t>24</w:t>
          </w:r>
          <w:r>
            <w:fldChar w:fldCharType="end"/>
          </w:r>
          <w:r>
            <w:fldChar w:fldCharType="end"/>
          </w:r>
        </w:p>
        <w:p w14:paraId="0FA50095">
          <w:pPr>
            <w:pStyle w:val="10"/>
            <w:tabs>
              <w:tab w:val="right" w:leader="dot" w:pos="9026"/>
            </w:tabs>
          </w:pPr>
          <w:r>
            <w:fldChar w:fldCharType="begin"/>
          </w:r>
          <w:r>
            <w:instrText xml:space="preserve"> HYPERLINK \l _Toc32765 </w:instrText>
          </w:r>
          <w:r>
            <w:fldChar w:fldCharType="separate"/>
          </w:r>
          <w:r>
            <w:rPr>
              <w:rFonts w:hint="eastAsia" w:ascii="宋体" w:hAnsi="宋体" w:eastAsia="宋体" w:cs="宋体"/>
              <w:szCs w:val="30"/>
              <w:lang w:val="en-US" w:eastAsia="zh-CN"/>
            </w:rPr>
            <w:t>7.2 系统合规与监管对接要求</w:t>
          </w:r>
          <w:r>
            <w:tab/>
          </w:r>
          <w:r>
            <w:fldChar w:fldCharType="begin"/>
          </w:r>
          <w:r>
            <w:instrText xml:space="preserve"> PAGEREF _Toc32765 \h </w:instrText>
          </w:r>
          <w:r>
            <w:fldChar w:fldCharType="separate"/>
          </w:r>
          <w:r>
            <w:t>24</w:t>
          </w:r>
          <w:r>
            <w:fldChar w:fldCharType="end"/>
          </w:r>
          <w:r>
            <w:fldChar w:fldCharType="end"/>
          </w:r>
        </w:p>
        <w:p w14:paraId="55025D79">
          <w:pPr>
            <w:pStyle w:val="10"/>
            <w:tabs>
              <w:tab w:val="right" w:leader="dot" w:pos="9026"/>
            </w:tabs>
          </w:pPr>
          <w:r>
            <w:fldChar w:fldCharType="begin"/>
          </w:r>
          <w:r>
            <w:instrText xml:space="preserve"> HYPERLINK \l _Toc17479 </w:instrText>
          </w:r>
          <w:r>
            <w:fldChar w:fldCharType="separate"/>
          </w:r>
          <w:r>
            <w:rPr>
              <w:rFonts w:hint="eastAsia" w:ascii="宋体" w:hAnsi="宋体" w:eastAsia="宋体" w:cs="宋体"/>
              <w:szCs w:val="30"/>
              <w:lang w:val="en-US" w:eastAsia="zh-CN"/>
            </w:rPr>
            <w:t>7.3 安全与合规设计边界说明</w:t>
          </w:r>
          <w:r>
            <w:tab/>
          </w:r>
          <w:r>
            <w:fldChar w:fldCharType="begin"/>
          </w:r>
          <w:r>
            <w:instrText xml:space="preserve"> PAGEREF _Toc17479 \h </w:instrText>
          </w:r>
          <w:r>
            <w:fldChar w:fldCharType="separate"/>
          </w:r>
          <w:r>
            <w:t>25</w:t>
          </w:r>
          <w:r>
            <w:fldChar w:fldCharType="end"/>
          </w:r>
          <w:r>
            <w:fldChar w:fldCharType="end"/>
          </w:r>
        </w:p>
        <w:p w14:paraId="2596564C">
          <w:pPr>
            <w:pStyle w:val="9"/>
            <w:tabs>
              <w:tab w:val="right" w:leader="dot" w:pos="9026"/>
            </w:tabs>
          </w:pPr>
          <w:r>
            <w:fldChar w:fldCharType="begin"/>
          </w:r>
          <w:r>
            <w:instrText xml:space="preserve"> HYPERLINK \l _Toc9960 </w:instrText>
          </w:r>
          <w:r>
            <w:fldChar w:fldCharType="separate"/>
          </w:r>
          <w:r>
            <w:rPr>
              <w:rFonts w:hint="eastAsia" w:ascii="宋体" w:hAnsi="宋体" w:eastAsia="宋体" w:cs="宋体"/>
              <w:bCs/>
              <w:szCs w:val="32"/>
              <w:lang w:val="en-US" w:eastAsia="zh-CN"/>
            </w:rPr>
            <w:t>八、投标要求</w:t>
          </w:r>
          <w:r>
            <w:tab/>
          </w:r>
          <w:r>
            <w:fldChar w:fldCharType="begin"/>
          </w:r>
          <w:r>
            <w:instrText xml:space="preserve"> PAGEREF _Toc9960 \h </w:instrText>
          </w:r>
          <w:r>
            <w:fldChar w:fldCharType="separate"/>
          </w:r>
          <w:r>
            <w:t>25</w:t>
          </w:r>
          <w:r>
            <w:fldChar w:fldCharType="end"/>
          </w:r>
          <w:r>
            <w:fldChar w:fldCharType="end"/>
          </w:r>
        </w:p>
        <w:p w14:paraId="6EB9917C">
          <w:pPr>
            <w:pStyle w:val="10"/>
            <w:tabs>
              <w:tab w:val="right" w:leader="dot" w:pos="9026"/>
            </w:tabs>
          </w:pPr>
          <w:r>
            <w:fldChar w:fldCharType="begin"/>
          </w:r>
          <w:r>
            <w:instrText xml:space="preserve"> HYPERLINK \l _Toc5369 </w:instrText>
          </w:r>
          <w:r>
            <w:fldChar w:fldCharType="separate"/>
          </w:r>
          <w:r>
            <w:rPr>
              <w:rFonts w:hint="eastAsia" w:ascii="宋体" w:hAnsi="宋体" w:eastAsia="宋体" w:cs="宋体"/>
              <w:szCs w:val="30"/>
              <w:lang w:val="en-US" w:eastAsia="zh-CN"/>
            </w:rPr>
            <w:t>8.1 招标定位说明</w:t>
          </w:r>
          <w:r>
            <w:tab/>
          </w:r>
          <w:r>
            <w:fldChar w:fldCharType="begin"/>
          </w:r>
          <w:r>
            <w:instrText xml:space="preserve"> PAGEREF _Toc5369 \h </w:instrText>
          </w:r>
          <w:r>
            <w:fldChar w:fldCharType="separate"/>
          </w:r>
          <w:r>
            <w:t>25</w:t>
          </w:r>
          <w:r>
            <w:fldChar w:fldCharType="end"/>
          </w:r>
          <w:r>
            <w:fldChar w:fldCharType="end"/>
          </w:r>
        </w:p>
        <w:p w14:paraId="26AD05C4">
          <w:pPr>
            <w:pStyle w:val="10"/>
            <w:tabs>
              <w:tab w:val="right" w:leader="dot" w:pos="9026"/>
            </w:tabs>
          </w:pPr>
          <w:r>
            <w:fldChar w:fldCharType="begin"/>
          </w:r>
          <w:r>
            <w:instrText xml:space="preserve"> HYPERLINK \l _Toc23447 </w:instrText>
          </w:r>
          <w:r>
            <w:fldChar w:fldCharType="separate"/>
          </w:r>
          <w:r>
            <w:rPr>
              <w:rFonts w:hint="eastAsia" w:ascii="宋体" w:hAnsi="宋体" w:eastAsia="宋体" w:cs="宋体"/>
              <w:szCs w:val="30"/>
              <w:lang w:val="en-US" w:eastAsia="zh-CN"/>
            </w:rPr>
            <w:t>8.2 投标文件总体要求</w:t>
          </w:r>
          <w:r>
            <w:tab/>
          </w:r>
          <w:r>
            <w:fldChar w:fldCharType="begin"/>
          </w:r>
          <w:r>
            <w:instrText xml:space="preserve"> PAGEREF _Toc23447 \h </w:instrText>
          </w:r>
          <w:r>
            <w:fldChar w:fldCharType="separate"/>
          </w:r>
          <w:r>
            <w:t>25</w:t>
          </w:r>
          <w:r>
            <w:fldChar w:fldCharType="end"/>
          </w:r>
          <w:r>
            <w:fldChar w:fldCharType="end"/>
          </w:r>
        </w:p>
        <w:p w14:paraId="34069B87">
          <w:pPr>
            <w:pStyle w:val="10"/>
            <w:tabs>
              <w:tab w:val="right" w:leader="dot" w:pos="9026"/>
            </w:tabs>
          </w:pPr>
          <w:r>
            <w:fldChar w:fldCharType="begin"/>
          </w:r>
          <w:r>
            <w:instrText xml:space="preserve"> HYPERLINK \l _Toc7482 </w:instrText>
          </w:r>
          <w:r>
            <w:fldChar w:fldCharType="separate"/>
          </w:r>
          <w:r>
            <w:rPr>
              <w:rFonts w:hint="eastAsia" w:ascii="宋体" w:hAnsi="宋体" w:eastAsia="宋体" w:cs="宋体"/>
              <w:szCs w:val="30"/>
              <w:lang w:val="en-US" w:eastAsia="zh-CN"/>
            </w:rPr>
            <w:t>8.3 设计内容与深度要求</w:t>
          </w:r>
          <w:r>
            <w:tab/>
          </w:r>
          <w:r>
            <w:fldChar w:fldCharType="begin"/>
          </w:r>
          <w:r>
            <w:instrText xml:space="preserve"> PAGEREF _Toc7482 \h </w:instrText>
          </w:r>
          <w:r>
            <w:fldChar w:fldCharType="separate"/>
          </w:r>
          <w:r>
            <w:t>25</w:t>
          </w:r>
          <w:r>
            <w:fldChar w:fldCharType="end"/>
          </w:r>
          <w:r>
            <w:fldChar w:fldCharType="end"/>
          </w:r>
        </w:p>
        <w:p w14:paraId="3BB2AD36">
          <w:pPr>
            <w:pStyle w:val="10"/>
            <w:tabs>
              <w:tab w:val="right" w:leader="dot" w:pos="9026"/>
            </w:tabs>
          </w:pPr>
          <w:r>
            <w:fldChar w:fldCharType="begin"/>
          </w:r>
          <w:r>
            <w:instrText xml:space="preserve"> HYPERLINK \l _Toc12 </w:instrText>
          </w:r>
          <w:r>
            <w:fldChar w:fldCharType="separate"/>
          </w:r>
          <w:r>
            <w:rPr>
              <w:rFonts w:hint="eastAsia" w:ascii="宋体" w:hAnsi="宋体" w:eastAsia="宋体" w:cs="宋体"/>
              <w:szCs w:val="30"/>
              <w:lang w:val="en-US" w:eastAsia="zh-CN"/>
            </w:rPr>
            <w:t>8.4 设计标与实施标边界说明</w:t>
          </w:r>
          <w:r>
            <w:tab/>
          </w:r>
          <w:r>
            <w:fldChar w:fldCharType="begin"/>
          </w:r>
          <w:r>
            <w:instrText xml:space="preserve"> PAGEREF _Toc12 \h </w:instrText>
          </w:r>
          <w:r>
            <w:fldChar w:fldCharType="separate"/>
          </w:r>
          <w:r>
            <w:t>26</w:t>
          </w:r>
          <w:r>
            <w:fldChar w:fldCharType="end"/>
          </w:r>
          <w:r>
            <w:fldChar w:fldCharType="end"/>
          </w:r>
        </w:p>
        <w:p w14:paraId="64E68CD2">
          <w:pPr>
            <w:pStyle w:val="10"/>
            <w:tabs>
              <w:tab w:val="right" w:leader="dot" w:pos="9026"/>
            </w:tabs>
          </w:pPr>
          <w:r>
            <w:fldChar w:fldCharType="begin"/>
          </w:r>
          <w:r>
            <w:instrText xml:space="preserve"> HYPERLINK \l _Toc26581 </w:instrText>
          </w:r>
          <w:r>
            <w:fldChar w:fldCharType="separate"/>
          </w:r>
          <w:r>
            <w:rPr>
              <w:rFonts w:hint="eastAsia" w:ascii="宋体" w:hAnsi="宋体" w:eastAsia="宋体" w:cs="宋体"/>
              <w:szCs w:val="30"/>
              <w:lang w:val="en-US" w:eastAsia="zh-CN"/>
            </w:rPr>
            <w:t>8.5 投标人资质与经验要求</w:t>
          </w:r>
          <w:r>
            <w:tab/>
          </w:r>
          <w:r>
            <w:fldChar w:fldCharType="begin"/>
          </w:r>
          <w:r>
            <w:instrText xml:space="preserve"> PAGEREF _Toc26581 \h </w:instrText>
          </w:r>
          <w:r>
            <w:fldChar w:fldCharType="separate"/>
          </w:r>
          <w:r>
            <w:t>26</w:t>
          </w:r>
          <w:r>
            <w:fldChar w:fldCharType="end"/>
          </w:r>
          <w:r>
            <w:fldChar w:fldCharType="end"/>
          </w:r>
        </w:p>
        <w:p w14:paraId="5B21E04F">
          <w:pPr>
            <w:pStyle w:val="9"/>
            <w:tabs>
              <w:tab w:val="right" w:leader="dot" w:pos="9026"/>
            </w:tabs>
          </w:pPr>
          <w:r>
            <w:fldChar w:fldCharType="begin"/>
          </w:r>
          <w:r>
            <w:instrText xml:space="preserve"> HYPERLINK \l _Toc10605 </w:instrText>
          </w:r>
          <w:r>
            <w:fldChar w:fldCharType="separate"/>
          </w:r>
          <w:r>
            <w:rPr>
              <w:rFonts w:hint="eastAsia" w:ascii="宋体" w:hAnsi="宋体" w:eastAsia="宋体" w:cs="宋体"/>
              <w:bCs/>
              <w:szCs w:val="32"/>
              <w:lang w:val="en-US" w:eastAsia="zh-CN"/>
            </w:rPr>
            <w:t>九、设计成果验收与评审标准</w:t>
          </w:r>
          <w:r>
            <w:tab/>
          </w:r>
          <w:r>
            <w:fldChar w:fldCharType="begin"/>
          </w:r>
          <w:r>
            <w:instrText xml:space="preserve"> PAGEREF _Toc10605 \h </w:instrText>
          </w:r>
          <w:r>
            <w:fldChar w:fldCharType="separate"/>
          </w:r>
          <w:r>
            <w:t>27</w:t>
          </w:r>
          <w:r>
            <w:fldChar w:fldCharType="end"/>
          </w:r>
          <w:r>
            <w:fldChar w:fldCharType="end"/>
          </w:r>
        </w:p>
        <w:p w14:paraId="4A4D26D3">
          <w:pPr>
            <w:pStyle w:val="10"/>
            <w:tabs>
              <w:tab w:val="right" w:leader="dot" w:pos="9026"/>
            </w:tabs>
          </w:pPr>
          <w:r>
            <w:fldChar w:fldCharType="begin"/>
          </w:r>
          <w:r>
            <w:instrText xml:space="preserve"> HYPERLINK \l _Toc15545 </w:instrText>
          </w:r>
          <w:r>
            <w:fldChar w:fldCharType="separate"/>
          </w:r>
          <w:r>
            <w:rPr>
              <w:rFonts w:hint="default" w:ascii="宋体" w:hAnsi="宋体" w:eastAsia="宋体" w:cs="宋体"/>
              <w:szCs w:val="30"/>
              <w:lang w:val="en-US" w:eastAsia="zh-CN"/>
            </w:rPr>
            <w:t>9.1 验收总体原则</w:t>
          </w:r>
          <w:r>
            <w:tab/>
          </w:r>
          <w:r>
            <w:fldChar w:fldCharType="begin"/>
          </w:r>
          <w:r>
            <w:instrText xml:space="preserve"> PAGEREF _Toc15545 \h </w:instrText>
          </w:r>
          <w:r>
            <w:fldChar w:fldCharType="separate"/>
          </w:r>
          <w:r>
            <w:t>27</w:t>
          </w:r>
          <w:r>
            <w:fldChar w:fldCharType="end"/>
          </w:r>
          <w:r>
            <w:fldChar w:fldCharType="end"/>
          </w:r>
        </w:p>
        <w:p w14:paraId="15F59A02">
          <w:pPr>
            <w:pStyle w:val="10"/>
            <w:tabs>
              <w:tab w:val="right" w:leader="dot" w:pos="9026"/>
            </w:tabs>
          </w:pPr>
          <w:r>
            <w:fldChar w:fldCharType="begin"/>
          </w:r>
          <w:r>
            <w:instrText xml:space="preserve"> HYPERLINK \l _Toc29129 </w:instrText>
          </w:r>
          <w:r>
            <w:fldChar w:fldCharType="separate"/>
          </w:r>
          <w:r>
            <w:rPr>
              <w:rFonts w:hint="default" w:ascii="宋体" w:hAnsi="宋体" w:eastAsia="宋体" w:cs="宋体"/>
              <w:szCs w:val="30"/>
              <w:lang w:val="en-US" w:eastAsia="zh-CN"/>
            </w:rPr>
            <w:t>9.2 设计成果验收标准</w:t>
          </w:r>
          <w:r>
            <w:tab/>
          </w:r>
          <w:r>
            <w:fldChar w:fldCharType="begin"/>
          </w:r>
          <w:r>
            <w:instrText xml:space="preserve"> PAGEREF _Toc29129 \h </w:instrText>
          </w:r>
          <w:r>
            <w:fldChar w:fldCharType="separate"/>
          </w:r>
          <w:r>
            <w:t>27</w:t>
          </w:r>
          <w:r>
            <w:fldChar w:fldCharType="end"/>
          </w:r>
          <w:r>
            <w:fldChar w:fldCharType="end"/>
          </w:r>
        </w:p>
        <w:p w14:paraId="2FF4EB21">
          <w:pPr>
            <w:pStyle w:val="9"/>
            <w:tabs>
              <w:tab w:val="right" w:leader="dot" w:pos="9026"/>
            </w:tabs>
          </w:pPr>
          <w:r>
            <w:fldChar w:fldCharType="begin"/>
          </w:r>
          <w:r>
            <w:instrText xml:space="preserve"> HYPERLINK \l _Toc24622 </w:instrText>
          </w:r>
          <w:r>
            <w:fldChar w:fldCharType="separate"/>
          </w:r>
          <w:r>
            <w:rPr>
              <w:rFonts w:hint="eastAsia" w:ascii="宋体" w:hAnsi="宋体" w:eastAsia="宋体" w:cs="宋体"/>
              <w:szCs w:val="32"/>
              <w:lang w:val="en-US" w:eastAsia="zh-CN"/>
            </w:rPr>
            <w:t>十、</w:t>
          </w:r>
          <w:r>
            <w:rPr>
              <w:rFonts w:hint="eastAsia" w:ascii="宋体" w:hAnsi="宋体" w:eastAsia="宋体" w:cs="宋体"/>
              <w:szCs w:val="32"/>
            </w:rPr>
            <w:t>其他要求</w:t>
          </w:r>
          <w:r>
            <w:tab/>
          </w:r>
          <w:r>
            <w:fldChar w:fldCharType="begin"/>
          </w:r>
          <w:r>
            <w:instrText xml:space="preserve"> PAGEREF _Toc24622 \h </w:instrText>
          </w:r>
          <w:r>
            <w:fldChar w:fldCharType="separate"/>
          </w:r>
          <w:r>
            <w:t>27</w:t>
          </w:r>
          <w:r>
            <w:fldChar w:fldCharType="end"/>
          </w:r>
          <w:r>
            <w:fldChar w:fldCharType="end"/>
          </w:r>
        </w:p>
        <w:p w14:paraId="1467EC84">
          <w:pPr>
            <w:pStyle w:val="10"/>
            <w:tabs>
              <w:tab w:val="right" w:leader="dot" w:pos="9026"/>
            </w:tabs>
          </w:pPr>
          <w:r>
            <w:fldChar w:fldCharType="begin"/>
          </w:r>
          <w:r>
            <w:instrText xml:space="preserve"> HYPERLINK \l _Toc7409 </w:instrText>
          </w:r>
          <w:r>
            <w:fldChar w:fldCharType="separate"/>
          </w:r>
          <w:r>
            <w:rPr>
              <w:rFonts w:hint="eastAsia" w:ascii="宋体" w:hAnsi="宋体" w:eastAsia="宋体" w:cs="宋体"/>
              <w:szCs w:val="30"/>
              <w:lang w:val="en-US" w:eastAsia="zh-CN"/>
            </w:rPr>
            <w:t>10.1 项目周期要求</w:t>
          </w:r>
          <w:r>
            <w:tab/>
          </w:r>
          <w:r>
            <w:fldChar w:fldCharType="begin"/>
          </w:r>
          <w:r>
            <w:instrText xml:space="preserve"> PAGEREF _Toc7409 \h </w:instrText>
          </w:r>
          <w:r>
            <w:fldChar w:fldCharType="separate"/>
          </w:r>
          <w:r>
            <w:t>27</w:t>
          </w:r>
          <w:r>
            <w:fldChar w:fldCharType="end"/>
          </w:r>
          <w:r>
            <w:fldChar w:fldCharType="end"/>
          </w:r>
        </w:p>
        <w:p w14:paraId="1FFFC6D5">
          <w:pPr>
            <w:pStyle w:val="10"/>
            <w:tabs>
              <w:tab w:val="right" w:leader="dot" w:pos="9026"/>
            </w:tabs>
          </w:pPr>
          <w:r>
            <w:fldChar w:fldCharType="begin"/>
          </w:r>
          <w:r>
            <w:instrText xml:space="preserve"> HYPERLINK \l _Toc31938 </w:instrText>
          </w:r>
          <w:r>
            <w:fldChar w:fldCharType="separate"/>
          </w:r>
          <w:r>
            <w:rPr>
              <w:rFonts w:hint="eastAsia" w:ascii="宋体" w:hAnsi="宋体" w:eastAsia="宋体" w:cs="宋体"/>
              <w:szCs w:val="30"/>
              <w:lang w:val="en-US" w:eastAsia="zh-CN"/>
            </w:rPr>
            <w:t>10.2 服务与沟通要求</w:t>
          </w:r>
          <w:r>
            <w:tab/>
          </w:r>
          <w:r>
            <w:fldChar w:fldCharType="begin"/>
          </w:r>
          <w:r>
            <w:instrText xml:space="preserve"> PAGEREF _Toc31938 \h </w:instrText>
          </w:r>
          <w:r>
            <w:fldChar w:fldCharType="separate"/>
          </w:r>
          <w:r>
            <w:t>28</w:t>
          </w:r>
          <w:r>
            <w:fldChar w:fldCharType="end"/>
          </w:r>
          <w:r>
            <w:fldChar w:fldCharType="end"/>
          </w:r>
        </w:p>
        <w:p w14:paraId="20762F69">
          <w:pPr>
            <w:pStyle w:val="10"/>
            <w:tabs>
              <w:tab w:val="right" w:leader="dot" w:pos="9026"/>
            </w:tabs>
          </w:pPr>
          <w:r>
            <w:fldChar w:fldCharType="begin"/>
          </w:r>
          <w:r>
            <w:instrText xml:space="preserve"> HYPERLINK \l _Toc20791 </w:instrText>
          </w:r>
          <w:r>
            <w:fldChar w:fldCharType="separate"/>
          </w:r>
          <w:r>
            <w:rPr>
              <w:rFonts w:hint="eastAsia" w:ascii="宋体" w:hAnsi="宋体" w:eastAsia="宋体" w:cs="宋体"/>
              <w:szCs w:val="30"/>
              <w:lang w:val="en-US" w:eastAsia="zh-CN"/>
            </w:rPr>
            <w:t>10.3 知识产权与成果归属</w:t>
          </w:r>
          <w:r>
            <w:tab/>
          </w:r>
          <w:r>
            <w:fldChar w:fldCharType="begin"/>
          </w:r>
          <w:r>
            <w:instrText xml:space="preserve"> PAGEREF _Toc20791 \h </w:instrText>
          </w:r>
          <w:r>
            <w:fldChar w:fldCharType="separate"/>
          </w:r>
          <w:r>
            <w:t>28</w:t>
          </w:r>
          <w:r>
            <w:fldChar w:fldCharType="end"/>
          </w:r>
          <w:r>
            <w:fldChar w:fldCharType="end"/>
          </w:r>
        </w:p>
        <w:p w14:paraId="3FBBE86C">
          <w:pPr>
            <w:pStyle w:val="10"/>
            <w:tabs>
              <w:tab w:val="right" w:leader="dot" w:pos="9026"/>
            </w:tabs>
          </w:pPr>
          <w:r>
            <w:fldChar w:fldCharType="begin"/>
          </w:r>
          <w:r>
            <w:instrText xml:space="preserve"> HYPERLINK \l _Toc5519 </w:instrText>
          </w:r>
          <w:r>
            <w:fldChar w:fldCharType="separate"/>
          </w:r>
          <w:r>
            <w:rPr>
              <w:rFonts w:hint="eastAsia" w:ascii="宋体" w:hAnsi="宋体" w:eastAsia="宋体" w:cs="宋体"/>
              <w:szCs w:val="30"/>
              <w:lang w:val="en-US" w:eastAsia="zh-CN"/>
            </w:rPr>
            <w:t>10.4 技术交底与后续支持说明</w:t>
          </w:r>
          <w:r>
            <w:tab/>
          </w:r>
          <w:r>
            <w:fldChar w:fldCharType="begin"/>
          </w:r>
          <w:r>
            <w:instrText xml:space="preserve"> PAGEREF _Toc5519 \h </w:instrText>
          </w:r>
          <w:r>
            <w:fldChar w:fldCharType="separate"/>
          </w:r>
          <w:r>
            <w:t>28</w:t>
          </w:r>
          <w:r>
            <w:fldChar w:fldCharType="end"/>
          </w:r>
          <w:r>
            <w:fldChar w:fldCharType="end"/>
          </w:r>
        </w:p>
        <w:p w14:paraId="5AE28E54">
          <w:pPr>
            <w:keepNext w:val="0"/>
            <w:keepLines w:val="0"/>
            <w:pageBreakBefore w:val="0"/>
            <w:widowControl/>
            <w:numPr>
              <w:ilvl w:val="-1"/>
              <w:numId w:val="0"/>
            </w:numPr>
            <w:kinsoku/>
            <w:wordWrap/>
            <w:overflowPunct/>
            <w:topLinePunct w:val="0"/>
            <w:autoSpaceDE/>
            <w:autoSpaceDN/>
            <w:bidi w:val="0"/>
            <w:adjustRightInd/>
            <w:snapToGrid/>
            <w:spacing w:before="0" w:after="0" w:line="240" w:lineRule="auto"/>
            <w:ind w:left="0" w:leftChars="0" w:firstLine="0" w:firstLineChars="0"/>
            <w:jc w:val="left"/>
            <w:textAlignment w:val="auto"/>
            <w:rPr>
              <w:rFonts w:hint="default" w:ascii="Arial" w:hAnsi="Arial" w:eastAsia="等线" w:cs="Arial"/>
              <w:b/>
              <w:bCs/>
              <w:sz w:val="32"/>
              <w:szCs w:val="32"/>
              <w:lang w:val="en-US" w:eastAsia="zh-CN"/>
            </w:rPr>
          </w:pPr>
          <w:r>
            <w:fldChar w:fldCharType="end"/>
          </w:r>
        </w:p>
      </w:sdtContent>
    </w:sdt>
    <w:p w14:paraId="23CD9808">
      <w:pPr>
        <w:pStyle w:val="2"/>
        <w:numPr>
          <w:ilvl w:val="0"/>
          <w:numId w:val="1"/>
        </w:numPr>
        <w:spacing w:line="240" w:lineRule="auto"/>
        <w:jc w:val="left"/>
        <w:rPr>
          <w:rFonts w:hint="eastAsia" w:ascii="宋体" w:hAnsi="宋体" w:eastAsia="宋体" w:cs="宋体"/>
          <w:b/>
          <w:bCs w:val="0"/>
          <w:sz w:val="32"/>
          <w:szCs w:val="32"/>
          <w:lang w:val="en-US" w:eastAsia="zh-CN"/>
        </w:rPr>
      </w:pPr>
      <w:bookmarkStart w:id="0" w:name="_Toc501"/>
      <w:bookmarkStart w:id="1" w:name="_Toc7317"/>
      <w:bookmarkStart w:id="2" w:name="_Toc30355"/>
      <w:bookmarkStart w:id="3" w:name="_Toc4942"/>
      <w:bookmarkStart w:id="4" w:name="_Toc6076"/>
      <w:bookmarkStart w:id="5" w:name="_Toc15856"/>
      <w:bookmarkStart w:id="6" w:name="_Toc29768"/>
      <w:r>
        <w:rPr>
          <w:rFonts w:hint="eastAsia" w:ascii="宋体" w:hAnsi="宋体" w:eastAsia="宋体" w:cs="宋体"/>
          <w:b/>
          <w:bCs w:val="0"/>
          <w:sz w:val="32"/>
          <w:szCs w:val="32"/>
          <w:lang w:val="en-US" w:eastAsia="zh-CN"/>
        </w:rPr>
        <w:t>前言</w:t>
      </w:r>
      <w:bookmarkEnd w:id="0"/>
      <w:bookmarkEnd w:id="1"/>
      <w:bookmarkEnd w:id="2"/>
      <w:bookmarkEnd w:id="3"/>
    </w:p>
    <w:p w14:paraId="7BD76624">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本设计规格书是朗坤科技北京通州生物质资源再生中心数智化工厂项目（含集团平台）设计标招标文件的重要组成部分，是后续系统建设、实施招标及项目落地的重要技术依据和顶层蓝图。</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 xml:space="preserve">    本设计规格书在充分对朗坤科技集团发展战略和北京通州项目“世界级生物能源超级工厂·低碳减排国际标杆”总体定位的基础上，系统性规定了本项目数智化工厂与集团一体化平台的总体设计目标、设计范围、总体技术路线、系统架构、功能规划、数据体系、安全合规要求及设计成果交付要求。</w:t>
      </w:r>
    </w:p>
    <w:p w14:paraId="20BD0D2A">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次招标为设计标（规划设计阶段），旨在通过引入具备工业互联网、大数据、人工智能、数字孪生、双碳管理和大型工业项目经验的专业设计单位或厂商，完成北京通州项目及朗坤集团数智化建设的整体顶层设计与系统规划，为后续分阶段实施提供统一、可落地、可扩展的技术蓝本，避免系统碎片化建设和重复投资风险。</w:t>
      </w:r>
    </w:p>
    <w:p w14:paraId="669689FD">
      <w:pPr>
        <w:pStyle w:val="3"/>
        <w:bidi w:val="0"/>
        <w:spacing w:before="110" w:beforeLines="0" w:beforeAutospacing="0" w:after="0" w:afterLines="0" w:afterAutospacing="0" w:line="408" w:lineRule="auto"/>
        <w:rPr>
          <w:rFonts w:hint="eastAsia" w:ascii="宋体" w:hAnsi="宋体" w:eastAsia="宋体" w:cs="宋体"/>
          <w:sz w:val="30"/>
          <w:szCs w:val="30"/>
          <w:lang w:val="en-US" w:eastAsia="zh-CN"/>
        </w:rPr>
      </w:pPr>
      <w:bookmarkStart w:id="7" w:name="_Toc15502"/>
      <w:bookmarkStart w:id="8" w:name="_Toc22057"/>
      <w:bookmarkStart w:id="9" w:name="_Toc24546"/>
      <w:bookmarkStart w:id="10" w:name="_Toc12931"/>
      <w:r>
        <w:rPr>
          <w:rFonts w:hint="eastAsia" w:ascii="宋体" w:hAnsi="宋体" w:eastAsia="宋体" w:cs="宋体"/>
          <w:sz w:val="30"/>
          <w:szCs w:val="30"/>
          <w:lang w:val="en-US" w:eastAsia="zh-CN"/>
        </w:rPr>
        <w:t>1.1 设计标建设内容概述</w:t>
      </w:r>
      <w:bookmarkEnd w:id="7"/>
      <w:bookmarkEnd w:id="8"/>
      <w:bookmarkEnd w:id="9"/>
      <w:bookmarkEnd w:id="10"/>
    </w:p>
    <w:p w14:paraId="3949F667">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本设计标围绕“集团级一体化管控 + 超级工厂智慧运营 + 世界级示范展示”三大主线，统筹规划集团级与厂区级数智化体系，设计内容包括但不限于以下方面：</w:t>
      </w:r>
    </w:p>
    <w:p w14:paraId="497C4A7C">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1、集团级一体化数智管理平台总体设计</w:t>
      </w:r>
    </w:p>
    <w:p w14:paraId="33ABEB07">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规划集团级统一的数据中枢、智能驾驶舱、运营监管体系、跨厂区对标分析体系及碳资产管理体系，实现集团对各厂区（以北京通州项目为核心，逐步覆盖中山、龙岗、广州等厂区）的集中管控与协同运营。</w:t>
      </w:r>
    </w:p>
    <w:p w14:paraId="6C6E095E">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2、北京通州数智化工厂整体设计</w:t>
      </w:r>
    </w:p>
    <w:p w14:paraId="23192D79">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设计覆盖</w:t>
      </w:r>
      <w:r>
        <w:rPr>
          <w:rFonts w:hint="eastAsia" w:ascii="宋体" w:hAnsi="宋体" w:eastAsia="宋体" w:cs="宋体"/>
          <w:b/>
          <w:bCs/>
          <w:kern w:val="0"/>
          <w:sz w:val="24"/>
          <w:szCs w:val="24"/>
          <w:lang w:val="en-US" w:eastAsia="zh-CN"/>
        </w:rPr>
        <w:t>餐厨垃圾、厨余垃圾、粪污、废弃食用油脂</w:t>
      </w:r>
      <w:r>
        <w:rPr>
          <w:rFonts w:hint="eastAsia" w:ascii="宋体" w:hAnsi="宋体" w:eastAsia="宋体" w:cs="宋体"/>
          <w:kern w:val="0"/>
          <w:sz w:val="24"/>
          <w:szCs w:val="24"/>
          <w:lang w:val="en-US" w:eastAsia="zh-CN"/>
        </w:rPr>
        <w:t>及</w:t>
      </w:r>
      <w:r>
        <w:rPr>
          <w:rFonts w:hint="eastAsia" w:ascii="宋体" w:hAnsi="宋体" w:eastAsia="宋体" w:cs="宋体"/>
          <w:b/>
          <w:bCs/>
          <w:kern w:val="0"/>
          <w:sz w:val="24"/>
          <w:szCs w:val="24"/>
          <w:lang w:val="en-US" w:eastAsia="zh-CN"/>
        </w:rPr>
        <w:t>生物柴油</w:t>
      </w:r>
      <w:r>
        <w:rPr>
          <w:rFonts w:hint="eastAsia" w:ascii="宋体" w:hAnsi="宋体" w:eastAsia="宋体" w:cs="宋体"/>
          <w:kern w:val="0"/>
          <w:sz w:val="24"/>
          <w:szCs w:val="24"/>
          <w:lang w:val="en-US" w:eastAsia="zh-CN"/>
        </w:rPr>
        <w:t>等多业态协同处理的智慧运营体系，形成生产运营、设备管理、能源管理、安全环保、智能收运、无人化作业等一体化解决方案。</w:t>
      </w:r>
    </w:p>
    <w:p w14:paraId="466C9D56">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479" w:leftChars="228" w:firstLine="0" w:firstLineChars="0"/>
        <w:jc w:val="left"/>
        <w:textAlignment w:val="auto"/>
        <w:rPr>
          <w:rFonts w:hint="eastAsia" w:ascii="宋体" w:hAnsi="宋体" w:eastAsia="宋体" w:cs="宋体"/>
          <w:kern w:val="0"/>
          <w:sz w:val="24"/>
          <w:szCs w:val="24"/>
          <w:lang w:val="en-US" w:eastAsia="zh-CN"/>
        </w:rPr>
      </w:pPr>
      <w:r>
        <w:rPr>
          <w:rFonts w:hint="eastAsia" w:ascii="宋体" w:hAnsi="宋体" w:eastAsia="宋体" w:cs="宋体"/>
          <w:b/>
          <w:bCs/>
          <w:kern w:val="0"/>
          <w:sz w:val="24"/>
          <w:szCs w:val="24"/>
          <w:lang w:val="en-US" w:eastAsia="zh-CN"/>
        </w:rPr>
        <w:t>数字孪生工厂与三维可视化体系设计</w:t>
      </w:r>
    </w:p>
    <w:p w14:paraId="5BCF6821">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规划园区级、车间级及核心工艺流程（餐厨垃圾、生物柴油等）的数字孪生模型，明确BIM/GIS/工艺仿真与实时数据融合路径，支撑工艺优化、预测性运维、能源与碳排放分析，以及工业旅游与科普展示应用。</w:t>
      </w:r>
    </w:p>
    <w:p w14:paraId="4B2B12E0">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479" w:leftChars="228" w:firstLine="0" w:firstLineChars="0"/>
        <w:jc w:val="left"/>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碳减排管理体系设计</w:t>
      </w:r>
    </w:p>
    <w:p w14:paraId="682A363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sz w:val="24"/>
          <w:szCs w:val="24"/>
          <w:lang w:val="en-US" w:eastAsia="zh-CN"/>
        </w:rPr>
        <w:t>设计碳减排核算及展示体系，</w:t>
      </w:r>
      <w:r>
        <w:rPr>
          <w:rFonts w:hint="eastAsia" w:ascii="宋体" w:hAnsi="宋体" w:eastAsia="宋体" w:cs="宋体"/>
          <w:kern w:val="0"/>
          <w:sz w:val="24"/>
          <w:szCs w:val="24"/>
        </w:rPr>
        <w:t>结合餐厨垃圾、厨余垃圾、废弃食用油脂等有机废弃物资源化处理业务特性，规划基于行业标准与方法学的碳减排核算体系，对项目在有机废弃物减量化、资源化、能源化利用过程中形成的</w:t>
      </w:r>
      <w:r>
        <w:rPr>
          <w:rStyle w:val="14"/>
          <w:rFonts w:hint="eastAsia" w:ascii="宋体" w:hAnsi="宋体" w:eastAsia="宋体" w:cs="宋体"/>
          <w:kern w:val="0"/>
          <w:sz w:val="24"/>
          <w:szCs w:val="24"/>
        </w:rPr>
        <w:t>碳减排量与减排贡献</w:t>
      </w:r>
      <w:r>
        <w:rPr>
          <w:rFonts w:hint="eastAsia" w:ascii="宋体" w:hAnsi="宋体" w:eastAsia="宋体" w:cs="宋体"/>
          <w:kern w:val="0"/>
          <w:sz w:val="24"/>
          <w:szCs w:val="24"/>
        </w:rPr>
        <w:t>进行系统性测算、分析与展示。</w:t>
      </w:r>
    </w:p>
    <w:p w14:paraId="2BD48C61">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rPr>
        <w:t>通过构建减碳标准数据库与多维分析模型，形成项目</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集团</w:t>
      </w:r>
      <w:r>
        <w:rPr>
          <w:rFonts w:hint="eastAsia" w:ascii="宋体" w:hAnsi="宋体" w:eastAsia="宋体" w:cs="宋体"/>
          <w:kern w:val="0"/>
          <w:sz w:val="24"/>
          <w:szCs w:val="24"/>
        </w:rPr>
        <w:t>层面的碳减排贡献评估能力，为双碳管理、政策申报、社会效益评估及示范展示提供数据支撑</w:t>
      </w:r>
      <w:r>
        <w:rPr>
          <w:rFonts w:hint="eastAsia" w:ascii="宋体" w:hAnsi="宋体" w:eastAsia="宋体" w:cs="宋体"/>
          <w:kern w:val="0"/>
          <w:sz w:val="24"/>
          <w:szCs w:val="24"/>
          <w:highlight w:val="none"/>
          <w:lang w:val="en-US" w:eastAsia="zh-CN"/>
        </w:rPr>
        <w:t>，同时助力政府实现碳达峰、碳中和目标，为地区迈向碳中和提供决策支撑。</w:t>
      </w:r>
    </w:p>
    <w:p w14:paraId="4407981F">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479" w:leftChars="228" w:firstLine="0" w:firstLineChars="0"/>
        <w:jc w:val="left"/>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工业互联网与数据架构总体设计</w:t>
      </w:r>
    </w:p>
    <w:p w14:paraId="2009ECBD">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设计统一的数据采集、数据治理、数据存储、数据分析和数据服务架构，明确“云—边—端”协同模式，形成支撑未来5–10年集团扩张和技术演进的高可用、高扩展技术基座。</w:t>
      </w:r>
    </w:p>
    <w:p w14:paraId="77AC4E79">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479" w:leftChars="228" w:firstLine="0" w:firstLineChars="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基于运营数据的智能决策体系设计</w:t>
      </w:r>
    </w:p>
    <w:p w14:paraId="69D677D6">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企业AI智能应用平台，基于工业互联网平台中清洗、治理后的高质量数据，结合AI模型能力，帮助企业管理者快速洞察企业的经营、生产、财务等情况，助力智能决策，明确数据+AI应用场景。工厂智能体并具备AI+设备、AI+安全、AI+能碳和AI+效益四大目标能力。</w:t>
      </w:r>
    </w:p>
    <w:p w14:paraId="273FCDD8">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479" w:leftChars="228" w:firstLine="0" w:firstLineChars="0"/>
        <w:jc w:val="left"/>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安全、合规与运维体系设计</w:t>
      </w:r>
    </w:p>
    <w:p w14:paraId="1E1F9C55">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从数据安全、网络安全、系统安全和合规审计角度，设计满足国家法律法规及行业监管要求的整体安全与运维体系，为后续等级保护测评及系统稳定运行奠定基础。</w:t>
      </w:r>
    </w:p>
    <w:p w14:paraId="7040918F">
      <w:pPr>
        <w:pStyle w:val="3"/>
        <w:bidi w:val="0"/>
        <w:spacing w:before="110" w:beforeLines="0" w:beforeAutospacing="0" w:after="0" w:afterLines="0" w:afterAutospacing="0" w:line="408" w:lineRule="auto"/>
        <w:rPr>
          <w:rFonts w:hint="eastAsia" w:ascii="宋体" w:hAnsi="宋体" w:eastAsia="宋体" w:cs="宋体"/>
          <w:sz w:val="30"/>
          <w:szCs w:val="30"/>
          <w:lang w:val="en-US" w:eastAsia="zh-CN"/>
        </w:rPr>
      </w:pPr>
      <w:bookmarkStart w:id="11" w:name="_Toc30637"/>
      <w:bookmarkStart w:id="12" w:name="_Toc393"/>
      <w:bookmarkStart w:id="13" w:name="_Toc25437"/>
      <w:bookmarkStart w:id="14" w:name="_Toc6626"/>
      <w:r>
        <w:rPr>
          <w:rFonts w:hint="eastAsia" w:ascii="宋体" w:hAnsi="宋体" w:eastAsia="宋体" w:cs="宋体"/>
          <w:sz w:val="30"/>
          <w:szCs w:val="30"/>
          <w:lang w:val="en-US" w:eastAsia="zh-CN"/>
        </w:rPr>
        <w:t>1.2 设计标工作内容与交付要求</w:t>
      </w:r>
      <w:bookmarkEnd w:id="11"/>
      <w:bookmarkEnd w:id="12"/>
      <w:bookmarkEnd w:id="13"/>
      <w:bookmarkEnd w:id="14"/>
    </w:p>
    <w:p w14:paraId="24CA2766">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本次设计标的工作内容包括但不限于以下方面：</w:t>
      </w:r>
    </w:p>
    <w:p w14:paraId="7C8C49ED">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完成朗坤科技集团级一体化管理平台与北京通州数智化工厂的整体顶层规划设计，包括业务架构、功能架构、技术架构、数据架构和安全架构设计；</w:t>
      </w:r>
    </w:p>
    <w:p w14:paraId="2644EE20">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完成各核心业务系统（生产运营、设备管理、能源管理、碳管理、数字孪生、智能收运、安全环保、工业旅游等）的功能规划与系统边界定义，形成清晰的系统蓝图；</w:t>
      </w:r>
    </w:p>
    <w:p w14:paraId="36D9464E">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完成集团—厂区数据贯通方案设计，明确各类数据的采集方式、标准口径、治理规则和共享机制；</w:t>
      </w:r>
    </w:p>
    <w:p w14:paraId="2CCD4DDE">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完成数字孪生工厂与智能化应用的设计路线论证，明确模型粒度、数据驱动机制和应用场景；</w:t>
      </w:r>
    </w:p>
    <w:p w14:paraId="0F7725FE">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完成系统分期建设与实施路线图设计，为后续实施标提供清晰、可执行的建设依据；</w:t>
      </w:r>
    </w:p>
    <w:p w14:paraId="11C32C50">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提交满足招标人要求的设计成果文件，包括但不限于：需求调研报告、总体设计方案、系统架构设计说明、功能模块设计说明、数据与接口规范、技术选型建议、实施阶段划分建议等。</w:t>
      </w:r>
    </w:p>
    <w:p w14:paraId="015C9FAE">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本设计标不包含具体系统的软件开发、硬件采购与实施部署工作，但投标人所提交的设计方案应具备高度可实施性与可扩展性，能够直接指导后续工程实施。</w:t>
      </w:r>
    </w:p>
    <w:p w14:paraId="218A17CD">
      <w:pPr>
        <w:pStyle w:val="3"/>
        <w:bidi w:val="0"/>
        <w:spacing w:before="110" w:beforeLines="0" w:beforeAutospacing="0" w:after="0" w:afterLines="0" w:afterAutospacing="0" w:line="408" w:lineRule="auto"/>
        <w:rPr>
          <w:rFonts w:hint="default" w:ascii="宋体" w:hAnsi="宋体" w:eastAsia="宋体" w:cs="宋体"/>
          <w:sz w:val="30"/>
          <w:szCs w:val="30"/>
          <w:lang w:val="en-US" w:eastAsia="zh-CN"/>
        </w:rPr>
      </w:pPr>
      <w:bookmarkStart w:id="15" w:name="_Toc21181"/>
      <w:bookmarkStart w:id="16" w:name="_Toc8074"/>
      <w:bookmarkStart w:id="17" w:name="_Toc32391"/>
      <w:bookmarkStart w:id="18" w:name="_Toc20764"/>
      <w:r>
        <w:rPr>
          <w:rFonts w:hint="eastAsia" w:ascii="宋体" w:hAnsi="宋体" w:eastAsia="宋体" w:cs="宋体"/>
          <w:sz w:val="30"/>
          <w:szCs w:val="30"/>
          <w:lang w:val="en-US" w:eastAsia="zh-CN"/>
        </w:rPr>
        <w:t>1.3 文件适用性与投标人责任说明</w:t>
      </w:r>
      <w:bookmarkEnd w:id="15"/>
      <w:bookmarkEnd w:id="16"/>
      <w:bookmarkEnd w:id="17"/>
      <w:bookmarkEnd w:id="18"/>
    </w:p>
    <w:p w14:paraId="3DFB329B">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jc w:val="left"/>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（1）本设计规格书是本次招标文件的组成部分，明确了朗坤科技北京通州数智化工厂及集团平台规划设计的总体要求和最低技术标准。</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（2）投标人应严格按照本设计规格书各章节要求，逐项做出实质性响应，并在设计方案中充分体现对餐厨及生物柴油行业特性的理解。</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（3）本设计规格书提出的内容为最低设计要求，并未穷尽所有技术细节。投标人应在满足本设计规格书要求的基础上，结合自身先进经验和最佳实践，对方案进行合理深化和优化。</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（4）设计成果应符合国家、行业、地方及国际相关标准、规范和强制性要求；当相关标准存在差异时，应以要求高者为准。</w:t>
      </w:r>
      <w:r>
        <w:rPr>
          <w:rFonts w:hint="eastAsia" w:ascii="宋体" w:hAnsi="宋体" w:eastAsia="宋体" w:cs="宋体"/>
          <w:kern w:val="0"/>
          <w:sz w:val="24"/>
          <w:szCs w:val="24"/>
          <w:lang w:val="en-US" w:eastAsia="zh-CN"/>
        </w:rPr>
        <w:br w:type="textWrapping"/>
      </w:r>
      <w:r>
        <w:rPr>
          <w:rFonts w:hint="eastAsia" w:ascii="宋体" w:hAnsi="宋体" w:eastAsia="宋体" w:cs="宋体"/>
          <w:kern w:val="0"/>
          <w:sz w:val="24"/>
          <w:szCs w:val="24"/>
          <w:lang w:val="en-US" w:eastAsia="zh-CN"/>
        </w:rPr>
        <w:t>（5）本次设计标成果将作为后续系统建设、实施招标、验收和运维的重要依据，中标设计单位应对其设计成果的完整性、前瞻性和可落地性负责。</w:t>
      </w:r>
    </w:p>
    <w:p w14:paraId="04E42C15">
      <w:pPr>
        <w:pStyle w:val="2"/>
        <w:spacing w:line="240" w:lineRule="auto"/>
        <w:jc w:val="left"/>
        <w:rPr>
          <w:rFonts w:hint="eastAsia" w:ascii="宋体" w:hAnsi="宋体" w:eastAsia="宋体" w:cs="宋体"/>
          <w:b/>
          <w:bCs w:val="0"/>
          <w:sz w:val="32"/>
          <w:szCs w:val="32"/>
        </w:rPr>
      </w:pPr>
      <w:bookmarkStart w:id="19" w:name="_Toc13279"/>
      <w:bookmarkStart w:id="20" w:name="_Toc12035"/>
      <w:bookmarkStart w:id="21" w:name="_Toc28289"/>
      <w:bookmarkStart w:id="22" w:name="_Toc3684"/>
      <w:r>
        <w:rPr>
          <w:rFonts w:hint="eastAsia" w:ascii="宋体" w:hAnsi="宋体" w:eastAsia="宋体" w:cs="宋体"/>
          <w:b/>
          <w:bCs w:val="0"/>
          <w:sz w:val="32"/>
          <w:szCs w:val="32"/>
          <w:lang w:val="en-US" w:eastAsia="zh-CN"/>
        </w:rPr>
        <w:t>二</w:t>
      </w:r>
      <w:r>
        <w:rPr>
          <w:rFonts w:hint="eastAsia" w:ascii="宋体" w:hAnsi="宋体" w:eastAsia="宋体" w:cs="宋体"/>
          <w:b/>
          <w:bCs w:val="0"/>
          <w:sz w:val="32"/>
          <w:szCs w:val="32"/>
        </w:rPr>
        <w:t>、项目背景与目标</w:t>
      </w:r>
      <w:bookmarkEnd w:id="4"/>
      <w:bookmarkEnd w:id="5"/>
      <w:bookmarkEnd w:id="6"/>
      <w:bookmarkEnd w:id="19"/>
      <w:bookmarkEnd w:id="20"/>
      <w:bookmarkEnd w:id="21"/>
      <w:bookmarkEnd w:id="22"/>
    </w:p>
    <w:p w14:paraId="385E6350">
      <w:pPr>
        <w:pStyle w:val="3"/>
        <w:spacing w:line="240" w:lineRule="auto"/>
        <w:rPr>
          <w:rFonts w:hint="eastAsia" w:ascii="宋体" w:hAnsi="宋体" w:eastAsia="宋体" w:cs="宋体"/>
          <w:b/>
          <w:bCs/>
          <w:sz w:val="30"/>
          <w:szCs w:val="30"/>
          <w:lang w:val="en-US" w:eastAsia="zh-CN"/>
        </w:rPr>
      </w:pPr>
      <w:bookmarkStart w:id="23" w:name="_Toc12784"/>
      <w:bookmarkStart w:id="24" w:name="_Toc20939"/>
      <w:bookmarkStart w:id="25" w:name="_Toc19058"/>
      <w:bookmarkStart w:id="26" w:name="_Toc31497"/>
      <w:r>
        <w:rPr>
          <w:rFonts w:hint="eastAsia" w:ascii="宋体" w:hAnsi="宋体" w:eastAsia="宋体" w:cs="宋体"/>
          <w:b/>
          <w:bCs/>
          <w:sz w:val="30"/>
          <w:szCs w:val="30"/>
          <w:lang w:val="en-US" w:eastAsia="zh-CN"/>
        </w:rPr>
        <w:t>2.1</w:t>
      </w:r>
      <w:r>
        <w:rPr>
          <w:rFonts w:hint="eastAsia" w:ascii="宋体" w:hAnsi="宋体" w:eastAsia="宋体" w:cs="宋体"/>
          <w:b/>
          <w:bCs/>
          <w:sz w:val="30"/>
          <w:szCs w:val="30"/>
        </w:rPr>
        <w:t>项目背景</w:t>
      </w:r>
      <w:bookmarkEnd w:id="23"/>
      <w:bookmarkEnd w:id="24"/>
      <w:bookmarkEnd w:id="25"/>
      <w:bookmarkEnd w:id="26"/>
      <w:r>
        <w:rPr>
          <w:rFonts w:hint="eastAsia" w:ascii="宋体" w:hAnsi="宋体" w:eastAsia="宋体" w:cs="宋体"/>
          <w:b/>
          <w:bCs/>
          <w:sz w:val="30"/>
          <w:szCs w:val="30"/>
          <w:lang w:val="en-US" w:eastAsia="zh-CN"/>
        </w:rPr>
        <w:t xml:space="preserve"> </w:t>
      </w:r>
    </w:p>
    <w:p w14:paraId="71A3463A">
      <w:pPr>
        <w:keepNext w:val="0"/>
        <w:keepLines w:val="0"/>
        <w:widowControl/>
        <w:suppressLineNumbers w:val="0"/>
        <w:spacing w:before="0" w:beforeAutospacing="1" w:afterAutospacing="0" w:line="360" w:lineRule="auto"/>
        <w:ind w:left="0" w:leftChars="0" w:right="0" w:rightChars="0"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北京通州有机质资源再生中心是集餐厨垃圾、厨余垃圾、粪污、废弃食用油脂处理及生物柴油生产于一体的综合性有机固废深度资源化项目，是全国一次性建成规模最大的有机固废协同处置与资源化利用示范工程。项目采用“四厂合一”的一体化规划与协同处置模式，在统一厂区内实现多类型有机固废的灵活兼容与协同运行，有机固废综合处置规模达 2100 吨/日，在处理规模、系统复杂度及资源化深度等方面均处于国内领先水平。</w:t>
      </w:r>
    </w:p>
    <w:p w14:paraId="31B9DF0B">
      <w:pPr>
        <w:keepNext w:val="0"/>
        <w:keepLines w:val="0"/>
        <w:widowControl/>
        <w:suppressLineNumbers w:val="0"/>
        <w:spacing w:beforeAutospacing="0" w:after="0" w:afterLines="0" w:afterAutospacing="0" w:line="360" w:lineRule="auto"/>
        <w:ind w:left="0" w:leftChars="0" w:right="0" w:rightChars="0"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项目工艺体系覆盖预处理、厌氧发酵、沼气净化与综合利用、油脂提取、生物柴油生产及副产物资源化利用等多个关键环节，形成多工艺链路并行、多能源系统耦合、多类设备与仪表高度集成的复杂运行体系。项目在生产组织、设备管理、能源管理、环保控制及安全运行等方面，对系统协同能力、运行透明度和管理精细化水平提出了极高要求。</w:t>
      </w:r>
    </w:p>
    <w:p w14:paraId="4105BBFE">
      <w:pPr>
        <w:keepNext w:val="0"/>
        <w:keepLines w:val="0"/>
        <w:widowControl/>
        <w:suppressLineNumbers w:val="0"/>
        <w:spacing w:before="0" w:beforeLines="0" w:beforeAutospacing="0" w:afterAutospacing="0" w:line="360" w:lineRule="auto"/>
        <w:ind w:left="0" w:leftChars="0" w:right="0" w:rightChars="0"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在建设与运营阶段，项目需实现多条工艺线协同调度、多能源系统联动优化、多角色业务管理并行运作，并在满足高标准环保与安全监管要求的前提下，持续提升整体运行效率与资源利用水平。这对工厂级数字化、智能化管理体系以及集团层面的集中管控与统一决策能力提出了系统性要求。</w:t>
      </w:r>
    </w:p>
    <w:p w14:paraId="5ED0B71C">
      <w:pPr>
        <w:keepNext w:val="0"/>
        <w:keepLines w:val="0"/>
        <w:pageBreakBefore w:val="0"/>
        <w:widowControl/>
        <w:numPr>
          <w:ilvl w:val="0"/>
          <w:numId w:val="0"/>
        </w:numPr>
        <w:kinsoku/>
        <w:wordWrap/>
        <w:overflowPunct/>
        <w:topLinePunct w:val="0"/>
        <w:autoSpaceDE/>
        <w:autoSpaceDN/>
        <w:bidi w:val="0"/>
        <w:adjustRightInd/>
        <w:snapToGrid/>
        <w:spacing w:beforeAutospacing="0" w:after="0" w:line="360" w:lineRule="auto"/>
        <w:ind w:firstLine="480"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同时，作为深圳市朗坤科技集团重点打造的示范性与标杆性项目，北京通州有机质资源再生中心不仅服务于单一厂区的高效运行管理，还承担着集团数智化建设标准的验证、先进模式的沉淀与复制推广的重要使命。项目的数智化设计成果将为集团后续多厂区建设提供可复用、可扩展的技术架构与管理范式支撑。</w:t>
      </w:r>
    </w:p>
    <w:p w14:paraId="6EFDDA19">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在此背景下，项目需要在系统实施之前，通过设计标方式，对集团级与厂区级数智化体系进行统一规划与系统设计，明确总体架构、业务边界、数据体系与关键应用方向，为后续技术实施提供清晰、可落地、可评估的设计依据。</w:t>
      </w:r>
    </w:p>
    <w:p w14:paraId="18F53E15">
      <w:pPr>
        <w:pStyle w:val="3"/>
        <w:rPr>
          <w:rFonts w:hint="eastAsia" w:ascii="宋体" w:hAnsi="宋体" w:eastAsia="宋体" w:cs="宋体"/>
          <w:b/>
          <w:bCs/>
          <w:sz w:val="30"/>
          <w:szCs w:val="30"/>
          <w:lang w:val="en-US" w:eastAsia="zh-CN"/>
        </w:rPr>
      </w:pPr>
      <w:bookmarkStart w:id="27" w:name="_Toc19632"/>
      <w:bookmarkStart w:id="28" w:name="_Toc6419"/>
      <w:bookmarkStart w:id="29" w:name="_Toc13659"/>
      <w:bookmarkStart w:id="30" w:name="_Toc23930"/>
      <w:r>
        <w:rPr>
          <w:rFonts w:hint="eastAsia" w:ascii="宋体" w:hAnsi="宋体" w:eastAsia="宋体" w:cs="宋体"/>
          <w:b/>
          <w:bCs/>
          <w:sz w:val="30"/>
          <w:szCs w:val="30"/>
          <w:lang w:val="en-US" w:eastAsia="zh-CN"/>
        </w:rPr>
        <w:t>2.2 痛点与需求</w:t>
      </w:r>
      <w:bookmarkEnd w:id="27"/>
      <w:bookmarkEnd w:id="28"/>
      <w:bookmarkEnd w:id="29"/>
      <w:bookmarkEnd w:id="30"/>
    </w:p>
    <w:p w14:paraId="1FF8AE86">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2"/>
          <w:sz w:val="24"/>
          <w:szCs w:val="24"/>
          <w:lang w:val="en-US" w:eastAsia="zh-CN" w:bidi="ar"/>
        </w:rPr>
      </w:pPr>
      <w:r>
        <w:rPr>
          <w:rFonts w:hint="eastAsia" w:ascii="宋体" w:hAnsi="宋体" w:eastAsia="宋体" w:cs="宋体"/>
          <w:sz w:val="24"/>
          <w:szCs w:val="24"/>
        </w:rPr>
        <w:t>当前“集团-厂区”的运营协同主要依赖传统的人工方式，面临巨大瓶颈，</w:t>
      </w:r>
      <w:r>
        <w:rPr>
          <w:rFonts w:hint="eastAsia" w:ascii="宋体" w:hAnsi="宋体" w:eastAsia="宋体" w:cs="宋体"/>
          <w:sz w:val="24"/>
          <w:szCs w:val="24"/>
          <w:lang w:val="en-US" w:eastAsia="zh-CN"/>
        </w:rPr>
        <w:t>特别是打造世界级超减碳生物能源超级工厂的背景下，</w:t>
      </w:r>
      <w:r>
        <w:rPr>
          <w:rFonts w:hint="eastAsia" w:ascii="宋体" w:hAnsi="宋体" w:eastAsia="宋体" w:cs="宋体"/>
          <w:b/>
          <w:bCs/>
          <w:sz w:val="24"/>
          <w:szCs w:val="24"/>
          <w:lang w:val="en-US" w:eastAsia="zh-CN"/>
        </w:rPr>
        <w:t>传统管理模式已无法满足高标准要求</w:t>
      </w:r>
      <w:r>
        <w:rPr>
          <w:rFonts w:hint="eastAsia" w:ascii="宋体" w:hAnsi="宋体" w:eastAsia="宋体" w:cs="宋体"/>
          <w:sz w:val="24"/>
          <w:szCs w:val="24"/>
          <w:lang w:val="en-US" w:eastAsia="zh-CN"/>
        </w:rPr>
        <w:t>，</w:t>
      </w:r>
      <w:r>
        <w:rPr>
          <w:rFonts w:hint="eastAsia" w:ascii="宋体" w:hAnsi="宋体" w:eastAsia="宋体" w:cs="宋体"/>
          <w:sz w:val="24"/>
          <w:szCs w:val="24"/>
        </w:rPr>
        <w:t>具体表现在：</w:t>
      </w:r>
    </w:p>
    <w:p w14:paraId="463F91B5">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241" w:firstLineChars="10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（1）多工艺、多系统并行运行，缺乏统一、直观的运行视角</w:t>
      </w:r>
    </w:p>
    <w:p w14:paraId="00569C06">
      <w:pPr>
        <w:keepNext w:val="0"/>
        <w:keepLines w:val="0"/>
        <w:widowControl/>
        <w:numPr>
          <w:ilvl w:val="0"/>
          <w:numId w:val="0"/>
        </w:numPr>
        <w:suppressLineNumbers w:val="0"/>
        <w:spacing w:line="360" w:lineRule="auto"/>
        <w:ind w:firstLine="240" w:firstLineChars="100"/>
        <w:jc w:val="both"/>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项目涵盖餐厨垃圾、厨余垃圾、粪污、废弃食用油脂等多类型有机固废处理工艺，并与厌氧发酵、生物柴油生产、公用工程及能源系统高度耦合。相关运行数据分散在 DCS/PLC、独立业务系统及人工台账中，难以形成统一、实时、可对比的整体运行态势认知，集团管理层对厂区运行状态的掌控更多依赖人工汇报，难以满足高强度、连续运行项目的管理需要。</w:t>
      </w:r>
    </w:p>
    <w:p w14:paraId="2B386663">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241" w:firstLineChars="10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（2）生产、设备与能源管理高度依赖经验，缺乏系统化分析支撑</w:t>
      </w:r>
    </w:p>
    <w:p w14:paraId="57A8DDA8">
      <w:pPr>
        <w:keepNext w:val="0"/>
        <w:keepLines w:val="0"/>
        <w:widowControl/>
        <w:numPr>
          <w:ilvl w:val="0"/>
          <w:numId w:val="0"/>
        </w:numPr>
        <w:suppressLineNumbers w:val="0"/>
        <w:spacing w:line="360" w:lineRule="auto"/>
        <w:ind w:left="0" w:leftChars="0" w:firstLine="480" w:firstLineChars="20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在设备运维、能耗管理及安全环保管理方面，现阶段以事后统计和被动响应为主，缺乏基于历史数据的趋势分析、对标分析与智能预测性研判能力，难以系统性识别运行瓶颈与优化空间，不利于复杂工艺体系下的长期稳定运行和精细化管理。</w:t>
      </w:r>
    </w:p>
    <w:p w14:paraId="30FF21C3">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241" w:firstLineChars="10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（3）管理标准分散，集团协同与复制能力不足</w:t>
      </w:r>
    </w:p>
    <w:p w14:paraId="68541912">
      <w:pPr>
        <w:keepNext w:val="0"/>
        <w:keepLines w:val="0"/>
        <w:widowControl/>
        <w:numPr>
          <w:ilvl w:val="0"/>
          <w:numId w:val="0"/>
        </w:numPr>
        <w:suppressLineNumbers w:val="0"/>
        <w:spacing w:line="360" w:lineRule="auto"/>
        <w:ind w:left="0" w:leftChars="0" w:firstLine="480" w:firstLineChars="20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随着集团多厂区布局持续推进，不同厂区在业务形态、工艺规模及管理成熟度方面存在差异，现有管理模式难以将成熟项目的运营经验、设备管理规范和安全标准高效复制到新建或在运厂区，制约了集团整体运营水平的协同提升。集团整体的内部经营数据多、来源杂、质量差，集团缺乏手段快速识别经营短板，缺乏决策依据。</w:t>
      </w:r>
    </w:p>
    <w:p w14:paraId="65B24902">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241" w:firstLineChars="10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（4）资源化与减碳价值突出，但缺乏系统化量化与管理能力</w:t>
      </w:r>
    </w:p>
    <w:p w14:paraId="1CD7B751">
      <w:pPr>
        <w:keepNext w:val="0"/>
        <w:keepLines w:val="0"/>
        <w:widowControl/>
        <w:numPr>
          <w:ilvl w:val="0"/>
          <w:numId w:val="0"/>
        </w:numPr>
        <w:suppressLineNumbers w:val="0"/>
        <w:spacing w:line="360" w:lineRule="auto"/>
        <w:ind w:left="0" w:leftChars="0" w:firstLine="480" w:firstLineChars="20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餐厨垃圾、厨余垃圾及废弃油脂的资源化处理本身具有显著的减量化、资源化和减碳价值，但目前缺乏基于统一口径和行业方法学的系统化核算、分析与展示能力，难以全面支撑项目在政策合规、管理决策及对外示范方面的需求。</w:t>
      </w:r>
    </w:p>
    <w:p w14:paraId="0B564A10">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241" w:firstLineChars="10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（5）项目示范属性突出，对数字化支撑能力提出更高要求</w:t>
      </w:r>
    </w:p>
    <w:p w14:paraId="4FF85DB5">
      <w:pPr>
        <w:keepNext w:val="0"/>
        <w:keepLines w:val="0"/>
        <w:widowControl/>
        <w:numPr>
          <w:ilvl w:val="0"/>
          <w:numId w:val="0"/>
        </w:numPr>
        <w:suppressLineNumbers w:val="0"/>
        <w:spacing w:line="360" w:lineRule="auto"/>
        <w:ind w:left="0" w:leftChars="0" w:firstLine="480" w:firstLineChars="20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作为朗坤科技重点打造的标杆项目，北京通州有机质资源再生中心不仅承担生产运营职能，还具备技术示范、科普展示和模式推广等综合属性，对工艺流程可视化、运行状态展示及管理决策支撑能力提出了更高要求。</w:t>
      </w:r>
    </w:p>
    <w:p w14:paraId="69B8B491">
      <w:pPr>
        <w:keepNext w:val="0"/>
        <w:keepLines w:val="0"/>
        <w:widowControl/>
        <w:numPr>
          <w:ilvl w:val="0"/>
          <w:numId w:val="0"/>
        </w:numPr>
        <w:suppressLineNumbers w:val="0"/>
        <w:spacing w:line="360" w:lineRule="auto"/>
        <w:ind w:left="0" w:leftChars="0" w:firstLine="480" w:firstLineChars="20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
        </w:rPr>
        <w:t>基于上述痛点与需求，项目亟须在系统实施之前，通过设计标方式，对集团级与厂区级数智化体系进行统一规划与顶层设计，明确总体架构、业务边界、数据体系及关键能力方向，为后续建设提供清晰、可持续、可落地的设计依据。</w:t>
      </w:r>
    </w:p>
    <w:p w14:paraId="7D4E6CB8">
      <w:pPr>
        <w:pStyle w:val="3"/>
        <w:rPr>
          <w:rFonts w:hint="eastAsia" w:ascii="宋体" w:hAnsi="宋体" w:eastAsia="宋体" w:cs="宋体"/>
          <w:sz w:val="30"/>
          <w:szCs w:val="30"/>
          <w:lang w:val="en-US" w:eastAsia="zh-CN"/>
        </w:rPr>
      </w:pPr>
      <w:bookmarkStart w:id="31" w:name="_Toc15229"/>
      <w:bookmarkStart w:id="32" w:name="_Toc11553"/>
      <w:bookmarkStart w:id="33" w:name="_Toc30038"/>
      <w:bookmarkStart w:id="34" w:name="_Toc11063"/>
      <w:r>
        <w:rPr>
          <w:rFonts w:hint="eastAsia" w:ascii="宋体" w:hAnsi="宋体" w:eastAsia="宋体" w:cs="宋体"/>
          <w:sz w:val="30"/>
          <w:szCs w:val="30"/>
          <w:lang w:val="en-US" w:eastAsia="zh-CN"/>
        </w:rPr>
        <w:t>2.3 项目意义</w:t>
      </w:r>
      <w:bookmarkEnd w:id="31"/>
      <w:bookmarkEnd w:id="32"/>
      <w:bookmarkEnd w:id="33"/>
      <w:bookmarkEnd w:id="34"/>
    </w:p>
    <w:p w14:paraId="3C3DB4D3">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本项目旨在打造朗坤科技工业级“北京通州数智化工厂”，其战略意义远超传统信息化平台工具范畴，将成为驱动企业转型升级和引领行业发展的核心引擎：</w:t>
      </w:r>
    </w:p>
    <w:p w14:paraId="43D92788">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b/>
          <w:bCs/>
          <w:sz w:val="24"/>
          <w:szCs w:val="24"/>
        </w:rPr>
        <w:t>实现集团化集约管控</w:t>
      </w:r>
      <w:r>
        <w:rPr>
          <w:rFonts w:hint="eastAsia" w:ascii="宋体" w:hAnsi="宋体" w:eastAsia="宋体" w:cs="宋体"/>
          <w:sz w:val="24"/>
          <w:szCs w:val="24"/>
        </w:rPr>
        <w:t>：打破数据孤岛，实现“集团-厂区”数据的纵向贯通与各业务板块数据的横向集成，提升总部的管控能力和运营效率，为未来持续并购和扩张打下坚实基础</w:t>
      </w:r>
      <w:r>
        <w:rPr>
          <w:rFonts w:hint="eastAsia" w:ascii="宋体" w:hAnsi="宋体" w:eastAsia="宋体" w:cs="宋体"/>
          <w:sz w:val="24"/>
          <w:szCs w:val="24"/>
          <w:lang w:eastAsia="zh-CN"/>
        </w:rPr>
        <w:t>，</w:t>
      </w:r>
      <w:r>
        <w:rPr>
          <w:rFonts w:hint="eastAsia" w:ascii="宋体" w:hAnsi="宋体" w:eastAsia="宋体" w:cs="宋体"/>
          <w:sz w:val="24"/>
          <w:szCs w:val="24"/>
        </w:rPr>
        <w:t>支撑集团向世界级生物科技企业愿景迈进。</w:t>
      </w:r>
    </w:p>
    <w:p w14:paraId="7E180020">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b/>
          <w:bCs/>
          <w:sz w:val="24"/>
          <w:szCs w:val="24"/>
        </w:rPr>
        <w:t>赋能精益化生产运营</w:t>
      </w:r>
      <w:r>
        <w:rPr>
          <w:rFonts w:hint="eastAsia" w:ascii="宋体" w:hAnsi="宋体" w:eastAsia="宋体" w:cs="宋体"/>
          <w:sz w:val="24"/>
          <w:szCs w:val="24"/>
        </w:rPr>
        <w:t>：</w:t>
      </w:r>
      <w:r>
        <w:rPr>
          <w:rFonts w:ascii="宋体" w:hAnsi="宋体" w:eastAsia="宋体" w:cs="宋体"/>
          <w:sz w:val="24"/>
          <w:szCs w:val="24"/>
        </w:rPr>
        <w:t>通过系统性数智化规划设计，构建覆盖生产、设备、能源、安全、减碳与管理决策的统一体系，提升工厂运行透明度、管理精细化水平与风险防控能力。</w:t>
      </w:r>
    </w:p>
    <w:p w14:paraId="499D99EC">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sz w:val="24"/>
          <w:szCs w:val="24"/>
        </w:rPr>
      </w:pPr>
      <w:r>
        <w:rPr>
          <w:rFonts w:hint="eastAsia" w:ascii="宋体" w:hAnsi="宋体" w:eastAsia="宋体" w:cs="宋体"/>
          <w:b/>
          <w:bCs/>
          <w:sz w:val="24"/>
          <w:szCs w:val="24"/>
        </w:rPr>
        <w:t>驱动业务模式创新</w:t>
      </w:r>
      <w:r>
        <w:rPr>
          <w:rFonts w:hint="eastAsia" w:ascii="宋体" w:hAnsi="宋体" w:eastAsia="宋体" w:cs="宋体"/>
          <w:sz w:val="24"/>
          <w:szCs w:val="24"/>
        </w:rPr>
        <w:t>：平台汇聚的全链条数据是企业的核心资产。基于这些数据，可探索增值服务，如为政府客户提供更具洞察力的废弃物治理分析报告，或基于准确的碳减排数据参与碳交易市场，开辟新的利润增长点。</w:t>
      </w:r>
    </w:p>
    <w:p w14:paraId="5D89E4C4">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sz w:val="24"/>
          <w:szCs w:val="24"/>
        </w:rPr>
      </w:pPr>
      <w:r>
        <w:rPr>
          <w:rFonts w:hint="eastAsia" w:ascii="宋体" w:hAnsi="宋体" w:eastAsia="宋体" w:cs="宋体"/>
          <w:b/>
          <w:bCs/>
          <w:sz w:val="24"/>
          <w:szCs w:val="24"/>
        </w:rPr>
        <w:t>打造行业数字化标杆</w:t>
      </w:r>
      <w:r>
        <w:rPr>
          <w:rFonts w:hint="eastAsia" w:ascii="宋体" w:hAnsi="宋体" w:eastAsia="宋体" w:cs="宋体"/>
          <w:sz w:val="24"/>
          <w:szCs w:val="24"/>
        </w:rPr>
        <w:t>：本项目的成功实施，将不仅是朗坤集团数字化转型的核心里程碑，更将为整个餐厨垃圾处理行业树立一个可复制、可推广的数字化平台典范，极大增强企业的行业</w:t>
      </w:r>
      <w:r>
        <w:rPr>
          <w:rFonts w:hint="eastAsia" w:ascii="宋体" w:hAnsi="宋体" w:eastAsia="宋体" w:cs="宋体"/>
          <w:sz w:val="24"/>
          <w:szCs w:val="24"/>
          <w:lang w:val="en-US" w:eastAsia="zh-CN"/>
        </w:rPr>
        <w:t>竞争力和</w:t>
      </w:r>
      <w:r>
        <w:rPr>
          <w:rFonts w:hint="eastAsia" w:ascii="宋体" w:hAnsi="宋体" w:eastAsia="宋体" w:cs="宋体"/>
          <w:sz w:val="24"/>
          <w:szCs w:val="24"/>
        </w:rPr>
        <w:t>影响力。</w:t>
      </w:r>
    </w:p>
    <w:p w14:paraId="7F00B39D">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2" w:firstLineChars="200"/>
        <w:jc w:val="left"/>
        <w:textAlignment w:val="auto"/>
        <w:rPr>
          <w:rFonts w:hint="eastAsia" w:ascii="宋体" w:hAnsi="宋体" w:eastAsia="宋体" w:cs="宋体"/>
          <w:sz w:val="24"/>
          <w:szCs w:val="24"/>
        </w:rPr>
      </w:pPr>
      <w:r>
        <w:rPr>
          <w:rFonts w:hint="eastAsia" w:ascii="宋体" w:hAnsi="宋体" w:eastAsia="宋体" w:cs="宋体"/>
          <w:b/>
          <w:bCs/>
          <w:sz w:val="24"/>
          <w:szCs w:val="24"/>
        </w:rPr>
        <w:t>引领世界级标杆建设</w:t>
      </w:r>
      <w:r>
        <w:rPr>
          <w:rFonts w:hint="eastAsia" w:ascii="宋体" w:hAnsi="宋体" w:eastAsia="宋体" w:cs="宋体"/>
          <w:sz w:val="24"/>
          <w:szCs w:val="24"/>
        </w:rPr>
        <w:t>：通州项目作为世界级生物能源超级工厂，将成为全球有机废弃物处理领域的技术标杆和管理标杆，为"一带一路"绿色发展和生物能源产业示范提供可复制、可推广的中国方案。</w:t>
      </w:r>
    </w:p>
    <w:p w14:paraId="60B89D76">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综上所述，</w:t>
      </w:r>
      <w:r>
        <w:rPr>
          <w:rFonts w:hint="eastAsia" w:ascii="宋体" w:hAnsi="宋体" w:eastAsia="宋体" w:cs="宋体"/>
          <w:sz w:val="24"/>
          <w:szCs w:val="24"/>
          <w:lang w:eastAsia="zh-CN"/>
        </w:rPr>
        <w:t>朗坤科技亟须</w:t>
      </w:r>
      <w:r>
        <w:rPr>
          <w:rFonts w:hint="eastAsia" w:ascii="宋体" w:hAnsi="宋体" w:eastAsia="宋体" w:cs="宋体"/>
          <w:sz w:val="24"/>
          <w:szCs w:val="24"/>
        </w:rPr>
        <w:t>通过本次规划设计，绘制一幅以数据为核心、以提升集团化运营竞争力为目标</w:t>
      </w:r>
      <w:r>
        <w:rPr>
          <w:rFonts w:ascii="宋体" w:hAnsi="宋体" w:eastAsia="宋体" w:cs="宋体"/>
          <w:sz w:val="24"/>
          <w:szCs w:val="24"/>
        </w:rPr>
        <w:t>、</w:t>
      </w:r>
      <w:r>
        <w:rPr>
          <w:rFonts w:hint="eastAsia" w:ascii="宋体" w:hAnsi="宋体" w:eastAsia="宋体" w:cs="宋体"/>
          <w:sz w:val="24"/>
          <w:szCs w:val="24"/>
        </w:rPr>
        <w:t>以打造世界级超减碳生物能源超级工厂为使命的先进蓝图，指引未来数字化建设的每一步。</w:t>
      </w:r>
    </w:p>
    <w:p w14:paraId="62C3AD27">
      <w:pPr>
        <w:pStyle w:val="3"/>
        <w:rPr>
          <w:rFonts w:hint="eastAsia" w:ascii="宋体" w:hAnsi="宋体" w:eastAsia="宋体" w:cs="宋体"/>
          <w:sz w:val="30"/>
          <w:szCs w:val="30"/>
          <w:lang w:val="en-US" w:eastAsia="zh-CN"/>
        </w:rPr>
      </w:pPr>
      <w:bookmarkStart w:id="35" w:name="_Toc1661"/>
      <w:bookmarkStart w:id="36" w:name="_Toc31010"/>
      <w:bookmarkStart w:id="37" w:name="_Toc18250"/>
      <w:bookmarkStart w:id="38" w:name="_Toc3873"/>
      <w:r>
        <w:rPr>
          <w:rFonts w:hint="eastAsia" w:ascii="宋体" w:hAnsi="宋体" w:eastAsia="宋体" w:cs="宋体"/>
          <w:sz w:val="30"/>
          <w:szCs w:val="30"/>
          <w:lang w:val="en-US" w:eastAsia="zh-CN"/>
        </w:rPr>
        <w:t>2.4设计目标</w:t>
      </w:r>
      <w:bookmarkEnd w:id="35"/>
      <w:bookmarkEnd w:id="36"/>
      <w:bookmarkEnd w:id="37"/>
      <w:bookmarkEnd w:id="38"/>
    </w:p>
    <w:p w14:paraId="7D12FAD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bidi="ar-SA"/>
        </w:rPr>
        <w:t>本项目规划设计应围绕朗坤科技“</w:t>
      </w:r>
      <w:r>
        <w:rPr>
          <w:rFonts w:hint="eastAsia" w:ascii="宋体" w:hAnsi="宋体" w:eastAsia="宋体" w:cs="宋体"/>
          <w:b/>
          <w:bCs/>
          <w:kern w:val="0"/>
          <w:sz w:val="24"/>
          <w:szCs w:val="24"/>
          <w:lang w:val="en-US" w:eastAsia="zh-CN" w:bidi="ar-SA"/>
        </w:rPr>
        <w:t>集团化、标准化、数字化、智能化</w:t>
      </w:r>
      <w:r>
        <w:rPr>
          <w:rFonts w:hint="eastAsia" w:ascii="宋体" w:hAnsi="宋体" w:eastAsia="宋体" w:cs="宋体"/>
          <w:kern w:val="0"/>
          <w:sz w:val="24"/>
          <w:szCs w:val="24"/>
          <w:lang w:val="en-US" w:eastAsia="zh-CN" w:bidi="ar-SA"/>
        </w:rPr>
        <w:t>”的战略内核，</w:t>
      </w:r>
      <w:r>
        <w:rPr>
          <w:rFonts w:hint="eastAsia" w:ascii="宋体" w:hAnsi="宋体" w:eastAsia="宋体" w:cs="宋体"/>
          <w:kern w:val="0"/>
          <w:sz w:val="24"/>
          <w:szCs w:val="24"/>
        </w:rPr>
        <w:t>结合北京通州项目"世界级生物能源超级工厂</w:t>
      </w:r>
      <w:r>
        <w:rPr>
          <w:rFonts w:hint="eastAsia" w:ascii="宋体" w:hAnsi="宋体" w:eastAsia="宋体" w:cs="宋体"/>
          <w:kern w:val="0"/>
          <w:sz w:val="24"/>
          <w:szCs w:val="24"/>
          <w:lang w:val="en-US" w:eastAsia="zh-CN"/>
        </w:rPr>
        <w:t xml:space="preserve"> </w:t>
      </w:r>
      <w:r>
        <w:rPr>
          <w:rFonts w:hint="eastAsia" w:ascii="宋体" w:hAnsi="宋体" w:eastAsia="宋体" w:cs="宋体"/>
          <w:b/>
          <w:bCs/>
          <w:kern w:val="0"/>
          <w:sz w:val="24"/>
          <w:szCs w:val="24"/>
        </w:rPr>
        <w:t>·</w:t>
      </w:r>
      <w:r>
        <w:rPr>
          <w:rFonts w:hint="eastAsia" w:ascii="宋体" w:hAnsi="宋体" w:eastAsia="宋体" w:cs="宋体"/>
          <w:b/>
          <w:bCs/>
          <w:kern w:val="0"/>
          <w:sz w:val="24"/>
          <w:szCs w:val="24"/>
          <w:lang w:val="en-US" w:eastAsia="zh-CN"/>
        </w:rPr>
        <w:t xml:space="preserve"> </w:t>
      </w:r>
      <w:r>
        <w:rPr>
          <w:rFonts w:hint="eastAsia" w:ascii="宋体" w:hAnsi="宋体" w:eastAsia="宋体" w:cs="宋体"/>
          <w:kern w:val="0"/>
          <w:sz w:val="24"/>
          <w:szCs w:val="24"/>
        </w:rPr>
        <w:t>低碳减排国际标杆"的定位</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bidi="ar-SA"/>
        </w:rPr>
        <w:t xml:space="preserve"> </w:t>
      </w:r>
      <w:r>
        <w:rPr>
          <w:rFonts w:hint="eastAsia" w:ascii="宋体" w:hAnsi="宋体" w:eastAsia="宋体" w:cs="宋体"/>
          <w:kern w:val="0"/>
          <w:sz w:val="24"/>
          <w:szCs w:val="24"/>
        </w:rPr>
        <w:t>旨在打造国内餐厨垃圾处理行业数字化转型的标杆平台</w:t>
      </w:r>
      <w:r>
        <w:rPr>
          <w:rFonts w:hint="eastAsia" w:ascii="宋体" w:hAnsi="宋体" w:eastAsia="宋体" w:cs="宋体"/>
          <w:kern w:val="0"/>
          <w:sz w:val="24"/>
          <w:szCs w:val="24"/>
          <w:lang w:val="en-US" w:eastAsia="zh-CN" w:bidi="ar-SA"/>
        </w:rPr>
        <w:t>。本设计标以规划设计为核心，围绕以下目标开展：</w:t>
      </w:r>
    </w:p>
    <w:p w14:paraId="0A2D05A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425" w:leftChars="0" w:hanging="425" w:firstLineChars="0"/>
        <w:jc w:val="both"/>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形成清晰、可落地的总体设计蓝图</w:t>
      </w:r>
    </w:p>
    <w:p w14:paraId="1926A889">
      <w:pPr>
        <w:keepNext w:val="0"/>
        <w:keepLines w:val="0"/>
        <w:pageBreakBefore w:val="0"/>
        <w:widowControl w:val="0"/>
        <w:kinsoku/>
        <w:wordWrap/>
        <w:overflowPunct/>
        <w:topLinePunct w:val="0"/>
        <w:autoSpaceDE/>
        <w:autoSpaceDN/>
        <w:bidi w:val="0"/>
        <w:adjustRightInd/>
        <w:snapToGrid/>
        <w:spacing w:line="360" w:lineRule="auto"/>
        <w:ind w:leftChars="0"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明确集团级与厂区级数智化体系的总体架构、功能边界、数据体系及应用层级，为后续技术实施提供统一依据。</w:t>
      </w:r>
    </w:p>
    <w:p w14:paraId="3E7ABB20">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425" w:leftChars="0" w:hanging="425" w:firstLineChars="0"/>
        <w:jc w:val="both"/>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构建以业务为核心的系统设计框架</w:t>
      </w:r>
    </w:p>
    <w:p w14:paraId="59EA83DF">
      <w:pPr>
        <w:keepNext w:val="0"/>
        <w:keepLines w:val="0"/>
        <w:pageBreakBefore w:val="0"/>
        <w:widowControl w:val="0"/>
        <w:kinsoku/>
        <w:wordWrap/>
        <w:overflowPunct/>
        <w:topLinePunct w:val="0"/>
        <w:autoSpaceDE/>
        <w:autoSpaceDN/>
        <w:bidi w:val="0"/>
        <w:adjustRightInd/>
        <w:snapToGrid/>
        <w:spacing w:line="360" w:lineRule="auto"/>
        <w:ind w:leftChars="0"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围绕餐厨垃圾与生物柴油核心业务，统筹生产运营管理、设备管理、能源与减碳分析、安全环保及智能优化等应用场景，确保设计与实际业务高度匹配。</w:t>
      </w:r>
    </w:p>
    <w:p w14:paraId="7C375B77">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425" w:leftChars="0" w:hanging="425" w:firstLineChars="0"/>
        <w:jc w:val="both"/>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突出数据驱动与智能化发展方向</w:t>
      </w:r>
    </w:p>
    <w:p w14:paraId="4D8ECC21">
      <w:pPr>
        <w:keepNext w:val="0"/>
        <w:keepLines w:val="0"/>
        <w:pageBreakBefore w:val="0"/>
        <w:widowControl w:val="0"/>
        <w:kinsoku/>
        <w:wordWrap/>
        <w:overflowPunct/>
        <w:topLinePunct w:val="0"/>
        <w:autoSpaceDE/>
        <w:autoSpaceDN/>
        <w:bidi w:val="0"/>
        <w:adjustRightInd/>
        <w:snapToGrid/>
        <w:spacing w:line="360" w:lineRule="auto"/>
        <w:ind w:leftChars="0"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从数据采集、数据治理、分析模型、智能应用等层面进行系统规划，明确数智化演进路径，而非单点功能堆砌。</w:t>
      </w:r>
    </w:p>
    <w:p w14:paraId="61DC6850">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425" w:leftChars="0" w:hanging="425" w:firstLineChars="0"/>
        <w:jc w:val="both"/>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支撑集团复制与示范展示需求</w:t>
      </w:r>
    </w:p>
    <w:p w14:paraId="341E57CF">
      <w:pPr>
        <w:keepNext w:val="0"/>
        <w:keepLines w:val="0"/>
        <w:pageBreakBefore w:val="0"/>
        <w:widowControl w:val="0"/>
        <w:kinsoku/>
        <w:wordWrap/>
        <w:overflowPunct/>
        <w:topLinePunct w:val="0"/>
        <w:autoSpaceDE/>
        <w:autoSpaceDN/>
        <w:bidi w:val="0"/>
        <w:adjustRightInd/>
        <w:snapToGrid/>
        <w:spacing w:line="360" w:lineRule="auto"/>
        <w:ind w:leftChars="0"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在满足通州项目实际需要的同时，充分考虑集团推广应用与对外展示需求，形成可复制、可扩展的设计成果。</w:t>
      </w:r>
    </w:p>
    <w:p w14:paraId="43EA4760">
      <w:pPr>
        <w:pStyle w:val="2"/>
        <w:keepNext/>
        <w:keepLines/>
        <w:widowControl w:val="0"/>
        <w:spacing w:line="240" w:lineRule="auto"/>
        <w:rPr>
          <w:rFonts w:hint="eastAsia" w:ascii="宋体" w:hAnsi="宋体" w:eastAsia="宋体" w:cs="宋体"/>
          <w:b/>
          <w:bCs w:val="0"/>
          <w:sz w:val="32"/>
          <w:szCs w:val="32"/>
        </w:rPr>
      </w:pPr>
      <w:bookmarkStart w:id="39" w:name="_Toc4237"/>
      <w:bookmarkStart w:id="40" w:name="_Toc18058"/>
      <w:bookmarkStart w:id="41" w:name="_Toc8102"/>
      <w:bookmarkStart w:id="42" w:name="_Toc15130"/>
      <w:bookmarkStart w:id="43" w:name="_Toc16921"/>
      <w:bookmarkStart w:id="44" w:name="_Toc24593"/>
      <w:bookmarkStart w:id="45" w:name="_Toc12265"/>
      <w:r>
        <w:rPr>
          <w:rFonts w:hint="eastAsia" w:ascii="宋体" w:hAnsi="宋体" w:eastAsia="宋体" w:cs="宋体"/>
          <w:b/>
          <w:bCs w:val="0"/>
          <w:sz w:val="32"/>
          <w:szCs w:val="32"/>
          <w:lang w:val="en-US" w:eastAsia="zh-CN"/>
        </w:rPr>
        <w:t>三</w:t>
      </w:r>
      <w:r>
        <w:rPr>
          <w:rFonts w:hint="eastAsia" w:ascii="宋体" w:hAnsi="宋体" w:eastAsia="宋体" w:cs="宋体"/>
          <w:b/>
          <w:bCs w:val="0"/>
          <w:sz w:val="32"/>
          <w:szCs w:val="32"/>
        </w:rPr>
        <w:t>、设计范围与核心业务场景</w:t>
      </w:r>
      <w:bookmarkEnd w:id="39"/>
      <w:bookmarkEnd w:id="40"/>
      <w:bookmarkEnd w:id="41"/>
      <w:bookmarkEnd w:id="42"/>
      <w:bookmarkEnd w:id="43"/>
      <w:bookmarkEnd w:id="44"/>
      <w:bookmarkEnd w:id="45"/>
    </w:p>
    <w:p w14:paraId="14C07B9D">
      <w:pPr>
        <w:pStyle w:val="3"/>
        <w:rPr>
          <w:rFonts w:hint="eastAsia" w:ascii="宋体" w:hAnsi="宋体" w:eastAsia="宋体" w:cs="宋体"/>
          <w:sz w:val="30"/>
          <w:szCs w:val="30"/>
          <w:lang w:val="en-US" w:eastAsia="zh-CN"/>
        </w:rPr>
      </w:pPr>
      <w:bookmarkStart w:id="46" w:name="_Toc30584"/>
      <w:bookmarkStart w:id="47" w:name="_Toc25758"/>
      <w:bookmarkStart w:id="48" w:name="_Toc1708"/>
      <w:bookmarkStart w:id="49" w:name="_Toc11637"/>
      <w:r>
        <w:rPr>
          <w:rFonts w:hint="eastAsia" w:ascii="宋体" w:hAnsi="宋体" w:eastAsia="宋体" w:cs="宋体"/>
          <w:sz w:val="30"/>
          <w:szCs w:val="30"/>
          <w:lang w:val="en-US" w:eastAsia="zh-CN"/>
        </w:rPr>
        <w:t>3.1设计范围</w:t>
      </w:r>
      <w:bookmarkEnd w:id="46"/>
      <w:bookmarkEnd w:id="47"/>
      <w:bookmarkEnd w:id="48"/>
      <w:bookmarkEnd w:id="49"/>
    </w:p>
    <w:p w14:paraId="2F278E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本设计标围绕北京通州数智化工厂建设目标，从总体规划与系统设计层面，对集团级与厂区级数智化体系进行统一设计与系统规划，明确总体架构、功能边界、数据体系及核心业务应用方向。</w:t>
      </w:r>
    </w:p>
    <w:p w14:paraId="28DDB1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本设计标的设计范围主要包括但不限于以下内容：</w:t>
      </w:r>
    </w:p>
    <w:p w14:paraId="593C8F12">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Chars="0" w:firstLine="482" w:firstLine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集团级数智化管理平台设计范围</w:t>
      </w:r>
    </w:p>
    <w:p w14:paraId="5FA4A6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包括集团统一</w:t>
      </w:r>
      <w:r>
        <w:rPr>
          <w:rFonts w:hint="eastAsia" w:ascii="宋体" w:hAnsi="宋体" w:eastAsia="宋体" w:cs="宋体"/>
          <w:kern w:val="0"/>
          <w:sz w:val="24"/>
          <w:szCs w:val="24"/>
          <w:lang w:val="en-US" w:eastAsia="zh-CN"/>
        </w:rPr>
        <w:t>平台门户、</w:t>
      </w:r>
      <w:r>
        <w:rPr>
          <w:rFonts w:hint="eastAsia" w:ascii="宋体" w:hAnsi="宋体" w:eastAsia="宋体" w:cs="宋体"/>
          <w:kern w:val="0"/>
          <w:sz w:val="24"/>
          <w:szCs w:val="24"/>
        </w:rPr>
        <w:t>数据体系、指标体系、智能</w:t>
      </w:r>
      <w:r>
        <w:rPr>
          <w:rFonts w:hint="eastAsia" w:ascii="宋体" w:hAnsi="宋体" w:eastAsia="宋体" w:cs="宋体"/>
          <w:kern w:val="0"/>
          <w:sz w:val="24"/>
          <w:szCs w:val="24"/>
          <w:lang w:val="en-US" w:eastAsia="zh-CN"/>
        </w:rPr>
        <w:t>经营分析、智慧</w:t>
      </w:r>
      <w:r>
        <w:rPr>
          <w:rFonts w:hint="eastAsia" w:ascii="宋体" w:hAnsi="宋体" w:eastAsia="宋体" w:cs="宋体"/>
          <w:kern w:val="0"/>
          <w:sz w:val="24"/>
          <w:szCs w:val="24"/>
        </w:rPr>
        <w:t>驾驶舱、跨厂区对标分析及标准化运营管理的总体架构设计，为集团对各厂区的集中管控与协同运营提供设计依据。</w:t>
      </w:r>
    </w:p>
    <w:p w14:paraId="5770E744">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北京通州数智化工厂整体设计范围</w:t>
      </w:r>
    </w:p>
    <w:p w14:paraId="25FA23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覆盖餐厨垃圾、厨余垃圾、粪污、废弃食用油脂处理及生物柴油生产等核心业务场景，从生产运营管理、设备管理、能源管理与碳减排分析、安全环保管理、智能优化与辅助决策等方面进行系统性规划设计。</w:t>
      </w:r>
    </w:p>
    <w:p w14:paraId="02A27B97">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数据与平台体系设计范围</w:t>
      </w:r>
    </w:p>
    <w:p w14:paraId="7D28423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包括数据采集架构、数据模型与标准、数据治理、数据分析与应用体系，以及工业互联网平台、系统集成与平台基础能力的整体设计。</w:t>
      </w:r>
    </w:p>
    <w:p w14:paraId="101E9CF5">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数字孪生与可视化设计范围</w:t>
      </w:r>
    </w:p>
    <w:p w14:paraId="287F26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rPr>
        <w:t>规划覆盖园区级、车间级及核心工艺流程的数字孪生与可视化体系设计，用于运行状态展示、分析研判与示范展示，不作为现场控制系统的替代。</w:t>
      </w:r>
    </w:p>
    <w:p w14:paraId="4F15D50B">
      <w:pPr>
        <w:pStyle w:val="3"/>
        <w:keepNext/>
        <w:keepLines/>
        <w:widowControl w:val="0"/>
        <w:spacing w:line="240" w:lineRule="auto"/>
        <w:rPr>
          <w:rFonts w:hint="eastAsia" w:ascii="宋体" w:hAnsi="宋体" w:eastAsia="宋体" w:cs="宋体"/>
          <w:lang w:val="en-US" w:eastAsia="zh-CN"/>
        </w:rPr>
      </w:pPr>
      <w:bookmarkStart w:id="50" w:name="_Toc7924"/>
      <w:bookmarkStart w:id="51" w:name="_Toc28014"/>
      <w:bookmarkStart w:id="52" w:name="_Toc10999"/>
      <w:bookmarkStart w:id="53" w:name="_Toc16768"/>
      <w:r>
        <w:rPr>
          <w:rFonts w:hint="eastAsia" w:ascii="宋体" w:hAnsi="宋体" w:eastAsia="宋体" w:cs="宋体"/>
          <w:lang w:val="en-US" w:eastAsia="zh-CN"/>
        </w:rPr>
        <w:t>3.2 核心业务场景</w:t>
      </w:r>
      <w:bookmarkEnd w:id="50"/>
      <w:bookmarkEnd w:id="51"/>
      <w:bookmarkEnd w:id="52"/>
      <w:bookmarkEnd w:id="53"/>
    </w:p>
    <w:p w14:paraId="168DFAA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本设计标围绕北京通州项目的实际运行特点与管理需求，选取具有代表性的核心业务场景作为数智化系统规划设计的重点对象，通过场景驱动的方式，明确系统设计关注点与应用方向。</w:t>
      </w:r>
    </w:p>
    <w:p w14:paraId="5F69ED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主要核心业务场景包括但不限于：</w:t>
      </w:r>
    </w:p>
    <w:p w14:paraId="33BCD462">
      <w:pPr>
        <w:keepNext w:val="0"/>
        <w:keepLines w:val="0"/>
        <w:pageBreakBefore w:val="0"/>
        <w:widowControl w:val="0"/>
        <w:numPr>
          <w:ilvl w:val="0"/>
          <w:numId w:val="6"/>
        </w:numPr>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餐厨垃圾与厨余垃圾处理运行场景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围绕</w:t>
      </w:r>
      <w:r>
        <w:rPr>
          <w:rFonts w:hint="eastAsia" w:ascii="宋体" w:hAnsi="宋体" w:eastAsia="宋体" w:cs="宋体"/>
          <w:kern w:val="0"/>
          <w:sz w:val="24"/>
          <w:szCs w:val="24"/>
          <w:lang w:val="en-US" w:eastAsia="zh-CN"/>
        </w:rPr>
        <w:t>收运、</w:t>
      </w:r>
      <w:r>
        <w:rPr>
          <w:rFonts w:hint="eastAsia" w:ascii="宋体" w:hAnsi="宋体" w:eastAsia="宋体" w:cs="宋体"/>
          <w:kern w:val="0"/>
          <w:sz w:val="24"/>
          <w:szCs w:val="24"/>
        </w:rPr>
        <w:t>卸料、预处理、厌氧发酵、沼气利用及残渣处置等关键环节，规划生产过程可视化、运行状态监测与异常分析的系统设计方案。</w:t>
      </w:r>
    </w:p>
    <w:p w14:paraId="2FCB0A08">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生物柴油酶法工艺生产运行场景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针对原料预处理、</w:t>
      </w:r>
      <w:r>
        <w:rPr>
          <w:rFonts w:hint="eastAsia" w:ascii="宋体" w:hAnsi="宋体" w:eastAsia="宋体" w:cs="宋体"/>
          <w:kern w:val="0"/>
          <w:sz w:val="24"/>
          <w:szCs w:val="24"/>
          <w:lang w:val="en-US" w:eastAsia="zh-CN"/>
        </w:rPr>
        <w:t>化验分析、</w:t>
      </w:r>
      <w:r>
        <w:rPr>
          <w:rFonts w:hint="eastAsia" w:ascii="宋体" w:hAnsi="宋体" w:eastAsia="宋体" w:cs="宋体"/>
          <w:kern w:val="0"/>
          <w:sz w:val="24"/>
          <w:szCs w:val="24"/>
        </w:rPr>
        <w:t>酶反应、分离提纯、罐区管理及产品出入库等环节，规划工艺流程展示、物料管理与质量数据管理的系统设计方案。</w:t>
      </w:r>
    </w:p>
    <w:p w14:paraId="2F472B60">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设备运行与运维管理场景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面向关键生产设备、公用工程设备及特种设备，规划设备全生命周期管理、运行状态分析与</w:t>
      </w:r>
      <w:r>
        <w:rPr>
          <w:rFonts w:hint="eastAsia" w:ascii="宋体" w:hAnsi="宋体" w:eastAsia="宋体" w:cs="宋体"/>
          <w:kern w:val="0"/>
          <w:sz w:val="24"/>
          <w:szCs w:val="24"/>
          <w:lang w:val="en-US" w:eastAsia="zh-CN"/>
        </w:rPr>
        <w:t>预测性</w:t>
      </w:r>
      <w:r>
        <w:rPr>
          <w:rFonts w:hint="eastAsia" w:ascii="宋体" w:hAnsi="宋体" w:eastAsia="宋体" w:cs="宋体"/>
          <w:kern w:val="0"/>
          <w:sz w:val="24"/>
          <w:szCs w:val="24"/>
        </w:rPr>
        <w:t>维护决策支持的系统设计思路。</w:t>
      </w:r>
    </w:p>
    <w:p w14:paraId="4B8BA2BA">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能源运行与碳减排核算场景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在既有能源系统与用电自平衡设计基础上，规划能源数据监测、能耗分析</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基于方法学的碳减排核算与展示方案，体现项目资源化与减碳价值。</w:t>
      </w:r>
    </w:p>
    <w:p w14:paraId="16BE65F0">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安全生产与环保监管场景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围绕人员安全、作业安全及三废排放管理，规划安全环保数据整合、风险预警与管理可视化的系统设计方案。</w:t>
      </w:r>
    </w:p>
    <w:p w14:paraId="5DA74DBE">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智能优化与辅助决策场景</w:t>
      </w:r>
      <w:r>
        <w:rPr>
          <w:rFonts w:hint="eastAsia" w:ascii="宋体" w:hAnsi="宋体" w:eastAsia="宋体" w:cs="宋体"/>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基于历史数据与分析模型，规划工艺参数分析、运行对标、优化建议及无人化作业等智能化应用的整体设计方向。</w:t>
      </w:r>
    </w:p>
    <w:p w14:paraId="5DC2989B">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482" w:firstLineChars="200"/>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集团化运营与对标管理场景</w:t>
      </w:r>
      <w:r>
        <w:rPr>
          <w:rFonts w:hint="eastAsia" w:ascii="宋体" w:hAnsi="宋体" w:eastAsia="宋体" w:cs="宋体"/>
          <w:b/>
          <w:bCs/>
          <w:kern w:val="0"/>
          <w:sz w:val="24"/>
          <w:szCs w:val="24"/>
        </w:rPr>
        <w:br w:type="textWrapping"/>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从集团视角规划多厂区数据汇聚、指标对标、</w:t>
      </w:r>
      <w:r>
        <w:rPr>
          <w:rFonts w:hint="eastAsia" w:ascii="宋体" w:hAnsi="宋体" w:eastAsia="宋体" w:cs="宋体"/>
          <w:kern w:val="0"/>
          <w:sz w:val="24"/>
          <w:szCs w:val="24"/>
          <w:lang w:val="en-US" w:eastAsia="zh-CN"/>
        </w:rPr>
        <w:t>经营数据智能</w:t>
      </w:r>
      <w:r>
        <w:rPr>
          <w:rFonts w:hint="eastAsia" w:ascii="宋体" w:hAnsi="宋体" w:eastAsia="宋体" w:cs="宋体"/>
          <w:kern w:val="0"/>
          <w:sz w:val="24"/>
          <w:szCs w:val="24"/>
        </w:rPr>
        <w:t>分析及标准化管理的系统设计方案，支撑集团集中管控与复制推广。</w:t>
      </w:r>
    </w:p>
    <w:p w14:paraId="035C07C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8.</w:t>
      </w:r>
      <w:r>
        <w:rPr>
          <w:rFonts w:hint="eastAsia" w:ascii="宋体" w:hAnsi="宋体" w:eastAsia="宋体" w:cs="宋体"/>
          <w:b/>
          <w:bCs/>
          <w:kern w:val="0"/>
          <w:sz w:val="24"/>
          <w:szCs w:val="24"/>
        </w:rPr>
        <w:t>科普教育互动场景</w:t>
      </w:r>
    </w:p>
    <w:p w14:paraId="4ECEA47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围绕生物科技知识展示、工艺流程科普及互动体验需求，规划集成数字孪生 + VR/AR 技术的科普教育数字化平台设计方案，覆盖生物技术原理讲解、废弃物资源化全流程可视化展示、互动问答等环节，同时规划访客管理与智能导览系统，支撑工业旅游与科普教育功能落地。</w:t>
      </w:r>
    </w:p>
    <w:p w14:paraId="50C8438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9.</w:t>
      </w:r>
      <w:r>
        <w:rPr>
          <w:rFonts w:hint="eastAsia" w:ascii="宋体" w:hAnsi="宋体" w:eastAsia="宋体" w:cs="宋体"/>
          <w:b/>
          <w:bCs/>
          <w:kern w:val="0"/>
          <w:sz w:val="24"/>
          <w:szCs w:val="24"/>
        </w:rPr>
        <w:t>机器人展示与应用场景</w:t>
      </w:r>
    </w:p>
    <w:p w14:paraId="3DFF1D0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分为生产运营类与展示服务类机器人应用设计：生产运营类围绕车间无人化作业需求，规划环境监测机器人、清洁机器人、巡检机器人、无人驾驶车</w:t>
      </w:r>
      <w:r>
        <w:rPr>
          <w:rFonts w:hint="eastAsia" w:ascii="宋体" w:hAnsi="宋体" w:eastAsia="宋体" w:cs="宋体"/>
          <w:kern w:val="0"/>
          <w:sz w:val="24"/>
          <w:szCs w:val="24"/>
          <w:lang w:val="en-US" w:eastAsia="zh-CN"/>
        </w:rPr>
        <w:t>辆（园区内）</w:t>
      </w:r>
      <w:r>
        <w:rPr>
          <w:rFonts w:hint="eastAsia" w:ascii="宋体" w:hAnsi="宋体" w:eastAsia="宋体" w:cs="宋体"/>
          <w:kern w:val="0"/>
          <w:sz w:val="24"/>
          <w:szCs w:val="24"/>
        </w:rPr>
        <w:t>等的部署架构与接入方案；展示服务类聚焦展厅互动与工业旅游需求，规划迎宾机器人、讲解机器人的功能设计与互动逻辑，打造沉浸式、科技化的参观体验。</w:t>
      </w:r>
    </w:p>
    <w:p w14:paraId="380307D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10.</w:t>
      </w:r>
      <w:r>
        <w:rPr>
          <w:rFonts w:hint="eastAsia" w:ascii="宋体" w:hAnsi="宋体" w:eastAsia="宋体" w:cs="宋体"/>
          <w:b/>
          <w:bCs/>
          <w:kern w:val="0"/>
          <w:sz w:val="24"/>
        </w:rPr>
        <w:t>智能知识管理与辅助</w:t>
      </w:r>
      <w:r>
        <w:rPr>
          <w:rFonts w:hint="eastAsia" w:ascii="宋体" w:hAnsi="宋体" w:eastAsia="宋体" w:cs="宋体"/>
          <w:b/>
          <w:bCs/>
          <w:kern w:val="0"/>
          <w:sz w:val="24"/>
          <w:lang w:val="en-US" w:eastAsia="zh-CN"/>
        </w:rPr>
        <w:t>决策</w:t>
      </w:r>
      <w:r>
        <w:rPr>
          <w:rFonts w:hint="eastAsia" w:ascii="宋体" w:hAnsi="宋体" w:eastAsia="宋体" w:cs="宋体"/>
          <w:b/>
          <w:bCs/>
          <w:kern w:val="0"/>
          <w:sz w:val="24"/>
        </w:rPr>
        <w:t>场景</w:t>
      </w:r>
    </w:p>
    <w:p w14:paraId="18710A4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eastAsia="zh-CN"/>
        </w:rPr>
      </w:pPr>
      <w:r>
        <w:rPr>
          <w:rFonts w:hint="eastAsia" w:ascii="宋体" w:hAnsi="宋体" w:eastAsia="宋体" w:cs="宋体"/>
          <w:kern w:val="0"/>
          <w:sz w:val="24"/>
          <w:szCs w:val="24"/>
        </w:rPr>
        <w:t>围绕企业知识沉淀与传承需求，规划智能知识库构建、多角色知识问答、智能培训辅助、会议纪要自动生成等场景，提升组织知识流转效率</w:t>
      </w:r>
      <w:r>
        <w:rPr>
          <w:rFonts w:hint="eastAsia" w:ascii="宋体" w:hAnsi="宋体" w:eastAsia="宋体" w:cs="宋体"/>
          <w:kern w:val="0"/>
          <w:sz w:val="24"/>
          <w:szCs w:val="24"/>
          <w:lang w:eastAsia="zh-CN"/>
        </w:rPr>
        <w:t>。</w:t>
      </w:r>
    </w:p>
    <w:p w14:paraId="513DEBC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宋体" w:hAnsi="宋体" w:eastAsia="宋体" w:cs="宋体"/>
          <w:kern w:val="0"/>
          <w:sz w:val="24"/>
          <w:szCs w:val="24"/>
        </w:rPr>
      </w:pPr>
    </w:p>
    <w:p w14:paraId="0EFC1120">
      <w:pPr>
        <w:pStyle w:val="3"/>
        <w:keepNext/>
        <w:keepLines/>
        <w:widowControl w:val="0"/>
        <w:spacing w:line="240" w:lineRule="auto"/>
        <w:rPr>
          <w:rFonts w:hint="eastAsia" w:ascii="宋体" w:hAnsi="宋体" w:eastAsia="宋体" w:cs="宋体"/>
          <w:lang w:val="en-US" w:eastAsia="zh-CN"/>
        </w:rPr>
      </w:pPr>
      <w:bookmarkStart w:id="54" w:name="_Toc14011"/>
      <w:bookmarkStart w:id="55" w:name="_Toc31340"/>
      <w:bookmarkStart w:id="56" w:name="_Toc20868"/>
      <w:bookmarkStart w:id="57" w:name="_Toc9644"/>
      <w:r>
        <w:rPr>
          <w:rFonts w:hint="eastAsia" w:ascii="宋体" w:hAnsi="宋体" w:eastAsia="宋体" w:cs="宋体"/>
          <w:lang w:val="en-US" w:eastAsia="zh-CN"/>
        </w:rPr>
        <w:t>3.3 需求清单</w:t>
      </w:r>
      <w:bookmarkEnd w:id="54"/>
      <w:bookmarkEnd w:id="55"/>
      <w:bookmarkEnd w:id="56"/>
      <w:bookmarkEnd w:id="57"/>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7"/>
        <w:gridCol w:w="1686"/>
        <w:gridCol w:w="4904"/>
        <w:gridCol w:w="2005"/>
      </w:tblGrid>
      <w:tr w14:paraId="2AFD0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shd w:val="clear" w:color="auto" w:fill="ACD78D" w:themeFill="accent4" w:themeFillTint="99"/>
          </w:tcPr>
          <w:p w14:paraId="501E061B">
            <w:pPr>
              <w:rPr>
                <w:rFonts w:hint="default"/>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分类</w:t>
            </w:r>
          </w:p>
        </w:tc>
        <w:tc>
          <w:tcPr>
            <w:tcW w:w="1685" w:type="dxa"/>
            <w:shd w:val="clear" w:color="auto" w:fill="ACD78D" w:themeFill="accent4" w:themeFillTint="99"/>
          </w:tcPr>
          <w:p w14:paraId="590CB038">
            <w:pPr>
              <w:rPr>
                <w:rFonts w:hint="default"/>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模块</w:t>
            </w:r>
          </w:p>
        </w:tc>
        <w:tc>
          <w:tcPr>
            <w:tcW w:w="4905" w:type="dxa"/>
            <w:shd w:val="clear" w:color="auto" w:fill="ACD78D" w:themeFill="accent4" w:themeFillTint="99"/>
          </w:tcPr>
          <w:p w14:paraId="0996FA66">
            <w:pPr>
              <w:rPr>
                <w:rFonts w:hint="default"/>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设计对象与需求描述</w:t>
            </w:r>
          </w:p>
        </w:tc>
        <w:tc>
          <w:tcPr>
            <w:tcW w:w="2005" w:type="dxa"/>
            <w:shd w:val="clear" w:color="auto" w:fill="ACD78D" w:themeFill="accent4" w:themeFillTint="99"/>
          </w:tcPr>
          <w:p w14:paraId="20CF7A51">
            <w:pPr>
              <w:rPr>
                <w:rFonts w:hint="default"/>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期望效果</w:t>
            </w:r>
          </w:p>
        </w:tc>
      </w:tr>
      <w:tr w14:paraId="6207B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0B492093">
            <w:pPr>
              <w:jc w:val="center"/>
              <w:rPr>
                <w:rFonts w:hint="default"/>
                <w:vertAlign w:val="baseline"/>
                <w:lang w:val="en-US" w:eastAsia="zh-CN"/>
              </w:rPr>
            </w:pPr>
            <w:r>
              <w:rPr>
                <w:rFonts w:hint="eastAsia"/>
                <w:b/>
                <w:bCs/>
                <w:vertAlign w:val="baseline"/>
                <w:lang w:val="en-US" w:eastAsia="zh-CN"/>
              </w:rPr>
              <w:t>一、基础设施与数据采集建设</w:t>
            </w:r>
          </w:p>
        </w:tc>
        <w:tc>
          <w:tcPr>
            <w:tcW w:w="1685" w:type="dxa"/>
          </w:tcPr>
          <w:p w14:paraId="0FADB690">
            <w:pPr>
              <w:rPr>
                <w:rFonts w:hint="default"/>
                <w:vertAlign w:val="baseline"/>
                <w:lang w:val="en-US" w:eastAsia="zh-CN"/>
              </w:rPr>
            </w:pPr>
            <w:r>
              <w:rPr>
                <w:rFonts w:hint="eastAsia"/>
                <w:vertAlign w:val="baseline"/>
                <w:lang w:val="en-US" w:eastAsia="zh-CN"/>
              </w:rPr>
              <w:t>PLC/DCS工控系统数据接入</w:t>
            </w:r>
          </w:p>
        </w:tc>
        <w:tc>
          <w:tcPr>
            <w:tcW w:w="4905" w:type="dxa"/>
          </w:tcPr>
          <w:p w14:paraId="280420CC">
            <w:pPr>
              <w:rPr>
                <w:rFonts w:hint="default"/>
                <w:vertAlign w:val="baseline"/>
                <w:lang w:val="en-US" w:eastAsia="zh-CN"/>
              </w:rPr>
            </w:pPr>
            <w:r>
              <w:rPr>
                <w:rFonts w:hint="eastAsia"/>
                <w:vertAlign w:val="baseline"/>
                <w:lang w:val="en-US" w:eastAsia="zh-CN"/>
              </w:rPr>
              <w:t>在现有 DCS/PLC 控制体系基础上，规划全厂主要生产设备、关键工艺参数的数据接入范围、数据粒度与接口方式，明确哪些数据来源于 DCS/PLC，哪些需直采或补充采集。</w:t>
            </w:r>
          </w:p>
        </w:tc>
        <w:tc>
          <w:tcPr>
            <w:tcW w:w="2005" w:type="dxa"/>
          </w:tcPr>
          <w:p w14:paraId="64636C3F">
            <w:pPr>
              <w:rPr>
                <w:rFonts w:hint="eastAsia"/>
                <w:vertAlign w:val="baseline"/>
                <w:lang w:val="en-US" w:eastAsia="zh-CN"/>
              </w:rPr>
            </w:pPr>
            <w:r>
              <w:rPr>
                <w:rFonts w:hint="eastAsia"/>
                <w:vertAlign w:val="baseline"/>
                <w:lang w:val="en-US" w:eastAsia="zh-CN"/>
              </w:rPr>
              <w:t>形成完整、可扩展的生产过程数据采集总体设计，为上层分析与管理提供统一数据基础。</w:t>
            </w:r>
          </w:p>
        </w:tc>
      </w:tr>
      <w:tr w14:paraId="5FD64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4EA6E7B0">
            <w:pPr>
              <w:rPr>
                <w:rFonts w:hint="default"/>
                <w:vertAlign w:val="baseline"/>
                <w:lang w:val="en-US" w:eastAsia="zh-CN"/>
              </w:rPr>
            </w:pPr>
          </w:p>
        </w:tc>
        <w:tc>
          <w:tcPr>
            <w:tcW w:w="1685" w:type="dxa"/>
          </w:tcPr>
          <w:p w14:paraId="63A61479">
            <w:pPr>
              <w:rPr>
                <w:rFonts w:hint="default"/>
                <w:vertAlign w:val="baseline"/>
                <w:lang w:val="en-US" w:eastAsia="zh-CN"/>
              </w:rPr>
            </w:pPr>
            <w:r>
              <w:rPr>
                <w:rFonts w:hint="eastAsia"/>
                <w:vertAlign w:val="baseline"/>
                <w:lang w:val="en-US" w:eastAsia="zh-CN"/>
              </w:rPr>
              <w:t>传感器与仪表</w:t>
            </w:r>
          </w:p>
        </w:tc>
        <w:tc>
          <w:tcPr>
            <w:tcW w:w="4905" w:type="dxa"/>
          </w:tcPr>
          <w:p w14:paraId="02BA1BD7">
            <w:pPr>
              <w:numPr>
                <w:ilvl w:val="0"/>
                <w:numId w:val="0"/>
              </w:numPr>
              <w:rPr>
                <w:rFonts w:hint="default"/>
                <w:vertAlign w:val="baseline"/>
                <w:lang w:val="en-US" w:eastAsia="zh-CN"/>
              </w:rPr>
            </w:pPr>
            <w:r>
              <w:rPr>
                <w:rFonts w:hint="eastAsia"/>
                <w:vertAlign w:val="baseline"/>
                <w:lang w:val="en-US" w:eastAsia="zh-CN"/>
              </w:rPr>
              <w:t>从工艺完整性和管理需求角度，规划厌氧罐、管道、反应釜（生物柴油）、罐区等关键节点的温度、压力、流量、液位、气体浓度等监测点位与数据接入规范。</w:t>
            </w:r>
          </w:p>
        </w:tc>
        <w:tc>
          <w:tcPr>
            <w:tcW w:w="2005" w:type="dxa"/>
          </w:tcPr>
          <w:p w14:paraId="07E01937">
            <w:pPr>
              <w:numPr>
                <w:ilvl w:val="0"/>
                <w:numId w:val="0"/>
              </w:numPr>
              <w:rPr>
                <w:rFonts w:hint="eastAsia"/>
                <w:vertAlign w:val="baseline"/>
                <w:lang w:val="en-US" w:eastAsia="zh-CN"/>
              </w:rPr>
            </w:pPr>
            <w:r>
              <w:rPr>
                <w:rFonts w:hint="eastAsia"/>
                <w:vertAlign w:val="baseline"/>
                <w:lang w:val="en-US" w:eastAsia="zh-CN"/>
              </w:rPr>
              <w:t>关键工艺与安全指标具备可感知、可追溯的数据基础。</w:t>
            </w:r>
          </w:p>
        </w:tc>
      </w:tr>
      <w:tr w14:paraId="298FF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5F4F22E2">
            <w:pPr>
              <w:rPr>
                <w:rFonts w:hint="default"/>
                <w:vertAlign w:val="baseline"/>
                <w:lang w:val="en-US" w:eastAsia="zh-CN"/>
              </w:rPr>
            </w:pPr>
          </w:p>
        </w:tc>
        <w:tc>
          <w:tcPr>
            <w:tcW w:w="1685" w:type="dxa"/>
          </w:tcPr>
          <w:p w14:paraId="4BC312C0">
            <w:pPr>
              <w:rPr>
                <w:rFonts w:hint="default"/>
                <w:vertAlign w:val="baseline"/>
                <w:lang w:val="en-US" w:eastAsia="zh-CN"/>
              </w:rPr>
            </w:pPr>
            <w:r>
              <w:rPr>
                <w:rFonts w:hint="eastAsia"/>
                <w:vertAlign w:val="baseline"/>
                <w:lang w:val="en-US" w:eastAsia="zh-CN"/>
              </w:rPr>
              <w:t>视频监控系统</w:t>
            </w:r>
          </w:p>
        </w:tc>
        <w:tc>
          <w:tcPr>
            <w:tcW w:w="4905" w:type="dxa"/>
          </w:tcPr>
          <w:p w14:paraId="63D3F373">
            <w:pPr>
              <w:rPr>
                <w:rFonts w:hint="default"/>
                <w:vertAlign w:val="baseline"/>
                <w:lang w:val="en-US" w:eastAsia="zh-CN"/>
              </w:rPr>
            </w:pPr>
            <w:r>
              <w:rPr>
                <w:rFonts w:hint="eastAsia"/>
                <w:vertAlign w:val="baseline"/>
                <w:lang w:val="en-US" w:eastAsia="zh-CN"/>
              </w:rPr>
              <w:t>规划覆盖卸料大厅、生产车间、罐区、危废仓库等重点区域的视频接入与系统对接方案，明确视频与数智化平台的接口关系。</w:t>
            </w:r>
          </w:p>
        </w:tc>
        <w:tc>
          <w:tcPr>
            <w:tcW w:w="2005" w:type="dxa"/>
          </w:tcPr>
          <w:p w14:paraId="6E655870">
            <w:pPr>
              <w:rPr>
                <w:rFonts w:hint="default"/>
                <w:vertAlign w:val="baseline"/>
                <w:lang w:val="en-US" w:eastAsia="zh-CN"/>
              </w:rPr>
            </w:pPr>
            <w:r>
              <w:rPr>
                <w:rFonts w:hint="eastAsia"/>
                <w:vertAlign w:val="baseline"/>
                <w:lang w:val="en-US" w:eastAsia="zh-CN"/>
              </w:rPr>
              <w:t>生产与安全关键场景可视化，为安全管理与智能分析提供基础。</w:t>
            </w:r>
          </w:p>
        </w:tc>
      </w:tr>
      <w:tr w14:paraId="771C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72598500">
            <w:pPr>
              <w:rPr>
                <w:rFonts w:hint="default"/>
                <w:vertAlign w:val="baseline"/>
                <w:lang w:val="en-US" w:eastAsia="zh-CN"/>
              </w:rPr>
            </w:pPr>
          </w:p>
        </w:tc>
        <w:tc>
          <w:tcPr>
            <w:tcW w:w="1685" w:type="dxa"/>
          </w:tcPr>
          <w:p w14:paraId="68BF152D">
            <w:pPr>
              <w:rPr>
                <w:rFonts w:hint="default"/>
                <w:vertAlign w:val="baseline"/>
                <w:lang w:val="en-US" w:eastAsia="zh-CN"/>
              </w:rPr>
            </w:pPr>
            <w:r>
              <w:rPr>
                <w:rFonts w:hint="eastAsia"/>
                <w:vertAlign w:val="baseline"/>
                <w:lang w:val="en-US" w:eastAsia="zh-CN"/>
              </w:rPr>
              <w:t>多协议数据采集</w:t>
            </w:r>
          </w:p>
        </w:tc>
        <w:tc>
          <w:tcPr>
            <w:tcW w:w="4905" w:type="dxa"/>
          </w:tcPr>
          <w:p w14:paraId="16F626A0">
            <w:pPr>
              <w:rPr>
                <w:rFonts w:hint="default"/>
                <w:vertAlign w:val="baseline"/>
                <w:lang w:val="en-US" w:eastAsia="zh-CN"/>
              </w:rPr>
            </w:pPr>
            <w:r>
              <w:rPr>
                <w:rFonts w:hint="eastAsia" w:asciiTheme="minorHAnsi" w:hAnsiTheme="minorHAnsi" w:eastAsiaTheme="minorEastAsia" w:cstheme="minorBidi"/>
                <w:sz w:val="21"/>
                <w:szCs w:val="24"/>
              </w:rPr>
              <w:t>设计支持 Modbus、OPC UA、Siemens S7 等多协议的统一数据采集架构，覆盖仪表、电表、地磅、环保监测等多源数据。</w:t>
            </w:r>
          </w:p>
        </w:tc>
        <w:tc>
          <w:tcPr>
            <w:tcW w:w="2005" w:type="dxa"/>
          </w:tcPr>
          <w:p w14:paraId="2908C959">
            <w:pPr>
              <w:rPr>
                <w:rFonts w:hint="default"/>
                <w:vertAlign w:val="baseline"/>
                <w:lang w:val="en-US" w:eastAsia="zh-CN"/>
              </w:rPr>
            </w:pPr>
            <w:r>
              <w:rPr>
                <w:rFonts w:hint="eastAsia"/>
                <w:vertAlign w:val="baseline"/>
                <w:lang w:val="en-US" w:eastAsia="zh-CN"/>
              </w:rPr>
              <w:t>异构数据统一接入、统一管理。</w:t>
            </w:r>
          </w:p>
        </w:tc>
      </w:tr>
      <w:tr w14:paraId="2BA8E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21F6E465">
            <w:pPr>
              <w:rPr>
                <w:rFonts w:hint="default"/>
                <w:vertAlign w:val="baseline"/>
                <w:lang w:val="en-US" w:eastAsia="zh-CN"/>
              </w:rPr>
            </w:pPr>
          </w:p>
        </w:tc>
        <w:tc>
          <w:tcPr>
            <w:tcW w:w="1685" w:type="dxa"/>
          </w:tcPr>
          <w:p w14:paraId="23D08901">
            <w:pPr>
              <w:rPr>
                <w:rFonts w:hint="default"/>
                <w:vertAlign w:val="baseline"/>
                <w:lang w:val="en-US" w:eastAsia="zh-CN"/>
              </w:rPr>
            </w:pPr>
            <w:r>
              <w:rPr>
                <w:rFonts w:hint="eastAsia"/>
                <w:vertAlign w:val="baseline"/>
                <w:lang w:val="en-US" w:eastAsia="zh-CN"/>
              </w:rPr>
              <w:t>边缘计算</w:t>
            </w:r>
          </w:p>
        </w:tc>
        <w:tc>
          <w:tcPr>
            <w:tcW w:w="4905" w:type="dxa"/>
          </w:tcPr>
          <w:p w14:paraId="42EF1BD5">
            <w:pPr>
              <w:rPr>
                <w:rFonts w:hint="default"/>
                <w:vertAlign w:val="baseline"/>
                <w:lang w:val="en-US" w:eastAsia="zh-CN"/>
              </w:rPr>
            </w:pPr>
            <w:r>
              <w:rPr>
                <w:rFonts w:hint="default"/>
                <w:vertAlign w:val="baseline"/>
                <w:lang w:val="en-US" w:eastAsia="zh-CN"/>
              </w:rPr>
              <w:t>从系统架构层面规划边缘计算节点的部署位置、功能定位</w:t>
            </w:r>
            <w:r>
              <w:rPr>
                <w:rFonts w:hint="eastAsia"/>
                <w:vertAlign w:val="baseline"/>
                <w:lang w:val="en-US" w:eastAsia="zh-CN"/>
              </w:rPr>
              <w:t>与</w:t>
            </w:r>
            <w:r>
              <w:rPr>
                <w:rFonts w:hint="default"/>
                <w:vertAlign w:val="baseline"/>
                <w:lang w:val="en-US" w:eastAsia="zh-CN"/>
              </w:rPr>
              <w:t>中心平台的协同关系，不限定具体实现方案。</w:t>
            </w:r>
          </w:p>
        </w:tc>
        <w:tc>
          <w:tcPr>
            <w:tcW w:w="2005" w:type="dxa"/>
          </w:tcPr>
          <w:p w14:paraId="0405314E">
            <w:pPr>
              <w:rPr>
                <w:rFonts w:hint="eastAsia"/>
                <w:vertAlign w:val="baseline"/>
                <w:lang w:val="en-US" w:eastAsia="zh-CN"/>
              </w:rPr>
            </w:pPr>
            <w:r>
              <w:rPr>
                <w:rFonts w:hint="eastAsia"/>
                <w:vertAlign w:val="baseline"/>
                <w:lang w:val="en-US" w:eastAsia="zh-CN"/>
              </w:rPr>
              <w:t>提升系统实时性与稳定性，支撑后续智能分析应用。</w:t>
            </w:r>
          </w:p>
        </w:tc>
      </w:tr>
      <w:tr w14:paraId="5EA74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59A16431">
            <w:pPr>
              <w:rPr>
                <w:rFonts w:hint="default"/>
                <w:vertAlign w:val="baseline"/>
                <w:lang w:val="en-US" w:eastAsia="zh-CN"/>
              </w:rPr>
            </w:pPr>
          </w:p>
        </w:tc>
        <w:tc>
          <w:tcPr>
            <w:tcW w:w="1685" w:type="dxa"/>
          </w:tcPr>
          <w:p w14:paraId="037BA2D4">
            <w:pPr>
              <w:rPr>
                <w:rFonts w:hint="eastAsia"/>
                <w:vertAlign w:val="baseline"/>
                <w:lang w:val="en-US" w:eastAsia="zh-CN"/>
              </w:rPr>
            </w:pPr>
            <w:r>
              <w:rPr>
                <w:rFonts w:hint="eastAsia"/>
                <w:vertAlign w:val="baseline"/>
                <w:lang w:val="en-US" w:eastAsia="zh-CN"/>
              </w:rPr>
              <w:t>智能自主运行系统</w:t>
            </w:r>
          </w:p>
        </w:tc>
        <w:tc>
          <w:tcPr>
            <w:tcW w:w="4905" w:type="dxa"/>
          </w:tcPr>
          <w:p w14:paraId="540D44AE">
            <w:pPr>
              <w:rPr>
                <w:rFonts w:hint="default"/>
                <w:vertAlign w:val="baseline"/>
                <w:lang w:val="en-US" w:eastAsia="zh-CN"/>
              </w:rPr>
            </w:pPr>
            <w:r>
              <w:rPr>
                <w:rFonts w:hint="eastAsia"/>
                <w:vertAlign w:val="baseline"/>
                <w:lang w:val="en-US" w:eastAsia="zh-CN"/>
              </w:rPr>
              <w:t>能将各工段从控制层面上进行连贯起来，同时通过智能报警系统和电子化操作规程等软件，确保整厂的生产智能化，实现生产自主运行。</w:t>
            </w:r>
          </w:p>
        </w:tc>
        <w:tc>
          <w:tcPr>
            <w:tcW w:w="2005" w:type="dxa"/>
          </w:tcPr>
          <w:p w14:paraId="183EC112">
            <w:pPr>
              <w:rPr>
                <w:rFonts w:hint="eastAsia"/>
                <w:vertAlign w:val="baseline"/>
                <w:lang w:val="en-US" w:eastAsia="zh-CN"/>
              </w:rPr>
            </w:pPr>
            <w:r>
              <w:rPr>
                <w:rFonts w:hint="eastAsia"/>
                <w:vertAlign w:val="baseline"/>
                <w:lang w:val="en-US" w:eastAsia="zh-CN"/>
              </w:rPr>
              <w:t>提升生产智能化。</w:t>
            </w:r>
          </w:p>
        </w:tc>
      </w:tr>
      <w:tr w14:paraId="6A9EE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0AB6FE10">
            <w:pPr>
              <w:rPr>
                <w:rFonts w:hint="default"/>
                <w:vertAlign w:val="baseline"/>
                <w:lang w:val="en-US" w:eastAsia="zh-CN"/>
              </w:rPr>
            </w:pPr>
            <w:r>
              <w:rPr>
                <w:rFonts w:hint="eastAsia"/>
                <w:b/>
                <w:bCs/>
                <w:vertAlign w:val="baseline"/>
                <w:lang w:val="en-US" w:eastAsia="zh-CN"/>
              </w:rPr>
              <w:t>二、数据存储与管理</w:t>
            </w:r>
          </w:p>
        </w:tc>
        <w:tc>
          <w:tcPr>
            <w:tcW w:w="1685" w:type="dxa"/>
          </w:tcPr>
          <w:p w14:paraId="6F2C43BA">
            <w:pPr>
              <w:rPr>
                <w:rFonts w:hint="default"/>
                <w:vertAlign w:val="baseline"/>
                <w:lang w:val="en-US" w:eastAsia="zh-CN"/>
              </w:rPr>
            </w:pPr>
            <w:r>
              <w:rPr>
                <w:rFonts w:hint="eastAsia"/>
                <w:vertAlign w:val="baseline"/>
                <w:lang w:val="en-US" w:eastAsia="zh-CN"/>
              </w:rPr>
              <w:t>统一数据平台/中台</w:t>
            </w:r>
          </w:p>
        </w:tc>
        <w:tc>
          <w:tcPr>
            <w:tcW w:w="4905" w:type="dxa"/>
          </w:tcPr>
          <w:p w14:paraId="64E49746">
            <w:pPr>
              <w:rPr>
                <w:rFonts w:hint="default"/>
                <w:vertAlign w:val="baseline"/>
                <w:lang w:val="en-US" w:eastAsia="zh-CN"/>
              </w:rPr>
            </w:pPr>
            <w:r>
              <w:rPr>
                <w:rFonts w:hint="eastAsia"/>
                <w:vertAlign w:val="baseline"/>
                <w:lang w:val="en-US" w:eastAsia="zh-CN"/>
              </w:rPr>
              <w:t>规划包含时序数据、业务数据、文档与多媒体数据的统一工业数据平台总体架构。</w:t>
            </w:r>
          </w:p>
        </w:tc>
        <w:tc>
          <w:tcPr>
            <w:tcW w:w="2005" w:type="dxa"/>
          </w:tcPr>
          <w:p w14:paraId="25640FF9">
            <w:pPr>
              <w:rPr>
                <w:rFonts w:hint="eastAsia"/>
                <w:vertAlign w:val="baseline"/>
                <w:lang w:val="en-US" w:eastAsia="zh-CN"/>
              </w:rPr>
            </w:pPr>
            <w:r>
              <w:rPr>
                <w:rFonts w:hint="eastAsia"/>
                <w:vertAlign w:val="baseline"/>
                <w:lang w:val="en-US" w:eastAsia="zh-CN"/>
              </w:rPr>
              <w:t>数据集中、可管理、可复用。</w:t>
            </w:r>
          </w:p>
        </w:tc>
      </w:tr>
      <w:tr w14:paraId="090DC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52D35294">
            <w:pPr>
              <w:rPr>
                <w:rFonts w:hint="default"/>
                <w:vertAlign w:val="baseline"/>
                <w:lang w:val="en-US" w:eastAsia="zh-CN"/>
              </w:rPr>
            </w:pPr>
          </w:p>
        </w:tc>
        <w:tc>
          <w:tcPr>
            <w:tcW w:w="1685" w:type="dxa"/>
          </w:tcPr>
          <w:p w14:paraId="01A7086B">
            <w:pPr>
              <w:rPr>
                <w:rFonts w:hint="default"/>
                <w:vertAlign w:val="baseline"/>
                <w:lang w:val="en-US" w:eastAsia="zh-CN"/>
              </w:rPr>
            </w:pPr>
            <w:r>
              <w:rPr>
                <w:rFonts w:hint="eastAsia"/>
                <w:vertAlign w:val="baseline"/>
                <w:lang w:val="en-US" w:eastAsia="zh-CN"/>
              </w:rPr>
              <w:t>数据模型与标准</w:t>
            </w:r>
          </w:p>
        </w:tc>
        <w:tc>
          <w:tcPr>
            <w:tcW w:w="4905" w:type="dxa"/>
          </w:tcPr>
          <w:p w14:paraId="1AFF990E">
            <w:pPr>
              <w:rPr>
                <w:rFonts w:hint="default"/>
                <w:vertAlign w:val="baseline"/>
                <w:lang w:val="en-US" w:eastAsia="zh-CN"/>
              </w:rPr>
            </w:pPr>
            <w:r>
              <w:rPr>
                <w:rFonts w:hint="default"/>
                <w:vertAlign w:val="baseline"/>
                <w:lang w:val="en-US" w:eastAsia="zh-CN"/>
              </w:rPr>
              <w:t>设计面向餐厨垃圾与生物柴油</w:t>
            </w:r>
            <w:r>
              <w:rPr>
                <w:rFonts w:hint="eastAsia"/>
                <w:vertAlign w:val="baseline"/>
                <w:lang w:val="en-US" w:eastAsia="zh-CN"/>
              </w:rPr>
              <w:t>等核心</w:t>
            </w:r>
            <w:r>
              <w:rPr>
                <w:rFonts w:hint="default"/>
                <w:vertAlign w:val="baseline"/>
                <w:lang w:val="en-US" w:eastAsia="zh-CN"/>
              </w:rPr>
              <w:t>业务的数据模型、主数据和指标体系，明确数据口径与计算逻辑。</w:t>
            </w:r>
          </w:p>
        </w:tc>
        <w:tc>
          <w:tcPr>
            <w:tcW w:w="2005" w:type="dxa"/>
          </w:tcPr>
          <w:p w14:paraId="6CE0F91C">
            <w:pPr>
              <w:rPr>
                <w:rFonts w:hint="eastAsia"/>
                <w:vertAlign w:val="baseline"/>
                <w:lang w:val="en-US" w:eastAsia="zh-CN"/>
              </w:rPr>
            </w:pPr>
            <w:r>
              <w:rPr>
                <w:rFonts w:hint="eastAsia"/>
                <w:vertAlign w:val="baseline"/>
                <w:lang w:val="en-US" w:eastAsia="zh-CN"/>
              </w:rPr>
              <w:t>指标口径统一，支撑跨系统、跨厂区分析。</w:t>
            </w:r>
          </w:p>
        </w:tc>
      </w:tr>
      <w:tr w14:paraId="6AB4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27875A09">
            <w:pPr>
              <w:rPr>
                <w:rFonts w:hint="default"/>
                <w:vertAlign w:val="baseline"/>
                <w:lang w:val="en-US" w:eastAsia="zh-CN"/>
              </w:rPr>
            </w:pPr>
          </w:p>
        </w:tc>
        <w:tc>
          <w:tcPr>
            <w:tcW w:w="1685" w:type="dxa"/>
          </w:tcPr>
          <w:p w14:paraId="7218E0B3">
            <w:pPr>
              <w:rPr>
                <w:rFonts w:hint="eastAsia"/>
                <w:vertAlign w:val="baseline"/>
                <w:lang w:val="en-US" w:eastAsia="zh-CN"/>
              </w:rPr>
            </w:pPr>
            <w:r>
              <w:rPr>
                <w:rFonts w:hint="eastAsia"/>
                <w:vertAlign w:val="baseline"/>
                <w:lang w:val="en-US" w:eastAsia="zh-CN"/>
              </w:rPr>
              <w:t>数据治理</w:t>
            </w:r>
          </w:p>
        </w:tc>
        <w:tc>
          <w:tcPr>
            <w:tcW w:w="4905" w:type="dxa"/>
          </w:tcPr>
          <w:p w14:paraId="7FCE794E">
            <w:pPr>
              <w:rPr>
                <w:rFonts w:hint="eastAsia"/>
                <w:vertAlign w:val="baseline"/>
                <w:lang w:val="en-US" w:eastAsia="zh-CN"/>
              </w:rPr>
            </w:pPr>
            <w:r>
              <w:rPr>
                <w:rFonts w:hint="eastAsia"/>
                <w:vertAlign w:val="baseline"/>
                <w:lang w:val="en-US" w:eastAsia="zh-CN"/>
              </w:rPr>
              <w:t>规划数据清洗、质量管理、血缘追溯等数据治理能力。</w:t>
            </w:r>
          </w:p>
        </w:tc>
        <w:tc>
          <w:tcPr>
            <w:tcW w:w="2005" w:type="dxa"/>
          </w:tcPr>
          <w:p w14:paraId="1ACEC6CE">
            <w:pPr>
              <w:rPr>
                <w:rFonts w:hint="eastAsia"/>
                <w:vertAlign w:val="baseline"/>
                <w:lang w:val="en-US" w:eastAsia="zh-CN"/>
              </w:rPr>
            </w:pPr>
            <w:r>
              <w:rPr>
                <w:rFonts w:hint="eastAsia"/>
                <w:vertAlign w:val="baseline"/>
                <w:lang w:val="en-US" w:eastAsia="zh-CN"/>
              </w:rPr>
              <w:t>数据可信、可追溯。</w:t>
            </w:r>
          </w:p>
        </w:tc>
      </w:tr>
      <w:tr w14:paraId="7E92B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512B1CEE">
            <w:pPr>
              <w:rPr>
                <w:rFonts w:hint="default"/>
                <w:vertAlign w:val="baseline"/>
                <w:lang w:val="en-US" w:eastAsia="zh-CN"/>
              </w:rPr>
            </w:pPr>
            <w:r>
              <w:rPr>
                <w:rFonts w:hint="eastAsia"/>
                <w:b/>
                <w:bCs/>
                <w:vertAlign w:val="baseline"/>
                <w:lang w:val="en-US" w:eastAsia="zh-CN"/>
              </w:rPr>
              <w:t>三、数据分析与应用</w:t>
            </w:r>
          </w:p>
        </w:tc>
        <w:tc>
          <w:tcPr>
            <w:tcW w:w="1685" w:type="dxa"/>
          </w:tcPr>
          <w:p w14:paraId="72F817C9">
            <w:pPr>
              <w:rPr>
                <w:rFonts w:hint="default"/>
                <w:vertAlign w:val="baseline"/>
                <w:lang w:val="en-US" w:eastAsia="zh-CN"/>
              </w:rPr>
            </w:pPr>
            <w:r>
              <w:rPr>
                <w:rFonts w:hint="eastAsia"/>
                <w:vertAlign w:val="baseline"/>
                <w:lang w:val="en-US" w:eastAsia="zh-CN"/>
              </w:rPr>
              <w:t>报表与BI分析</w:t>
            </w:r>
          </w:p>
        </w:tc>
        <w:tc>
          <w:tcPr>
            <w:tcW w:w="4905" w:type="dxa"/>
          </w:tcPr>
          <w:p w14:paraId="65EC76EF">
            <w:pPr>
              <w:rPr>
                <w:rFonts w:hint="default"/>
                <w:vertAlign w:val="baseline"/>
                <w:lang w:val="en-US" w:eastAsia="zh-CN"/>
              </w:rPr>
            </w:pPr>
            <w:r>
              <w:rPr>
                <w:rFonts w:hint="eastAsia"/>
                <w:vertAlign w:val="baseline"/>
                <w:lang w:val="en-US" w:eastAsia="zh-CN"/>
              </w:rPr>
              <w:t>规划支持生产、设备、能源、安全、环保等主题的报表与分析能力，支持多维分析与自定义配置。</w:t>
            </w:r>
          </w:p>
        </w:tc>
        <w:tc>
          <w:tcPr>
            <w:tcW w:w="2005" w:type="dxa"/>
          </w:tcPr>
          <w:p w14:paraId="12C24143">
            <w:pPr>
              <w:rPr>
                <w:rFonts w:hint="eastAsia"/>
                <w:vertAlign w:val="baseline"/>
                <w:lang w:val="en-US" w:eastAsia="zh-CN"/>
              </w:rPr>
            </w:pPr>
            <w:r>
              <w:rPr>
                <w:rFonts w:hint="eastAsia"/>
                <w:vertAlign w:val="baseline"/>
                <w:lang w:val="en-US" w:eastAsia="zh-CN"/>
              </w:rPr>
              <w:t>管理与业务人员可基于数据进行分析决策。</w:t>
            </w:r>
          </w:p>
        </w:tc>
      </w:tr>
      <w:tr w14:paraId="7C797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7ACBE67C">
            <w:pPr>
              <w:rPr>
                <w:rFonts w:hint="default"/>
                <w:vertAlign w:val="baseline"/>
                <w:lang w:val="en-US" w:eastAsia="zh-CN"/>
              </w:rPr>
            </w:pPr>
          </w:p>
        </w:tc>
        <w:tc>
          <w:tcPr>
            <w:tcW w:w="1685" w:type="dxa"/>
          </w:tcPr>
          <w:p w14:paraId="520E2D3A">
            <w:pPr>
              <w:rPr>
                <w:rFonts w:hint="default"/>
                <w:vertAlign w:val="baseline"/>
                <w:lang w:val="en-US" w:eastAsia="zh-CN"/>
              </w:rPr>
            </w:pPr>
            <w:r>
              <w:rPr>
                <w:rFonts w:hint="default"/>
                <w:vertAlign w:val="baseline"/>
                <w:lang w:val="en-US" w:eastAsia="zh-CN"/>
              </w:rPr>
              <w:t>指标分析模型</w:t>
            </w:r>
          </w:p>
        </w:tc>
        <w:tc>
          <w:tcPr>
            <w:tcW w:w="4905" w:type="dxa"/>
          </w:tcPr>
          <w:p w14:paraId="00DC2D66">
            <w:pPr>
              <w:numPr>
                <w:ilvl w:val="0"/>
                <w:numId w:val="0"/>
              </w:numPr>
              <w:rPr>
                <w:rFonts w:hint="default"/>
                <w:vertAlign w:val="baseline"/>
                <w:lang w:val="en-US" w:eastAsia="zh-CN"/>
              </w:rPr>
            </w:pPr>
            <w:r>
              <w:rPr>
                <w:rFonts w:hint="eastAsia"/>
                <w:vertAlign w:val="baseline"/>
                <w:lang w:val="en-US" w:eastAsia="zh-CN"/>
              </w:rPr>
              <w:t>设计 OEE（设备综合效率）、能耗、提油率、单位处理成本等关键指标的分析模型与展示方式。</w:t>
            </w:r>
          </w:p>
        </w:tc>
        <w:tc>
          <w:tcPr>
            <w:tcW w:w="2005" w:type="dxa"/>
          </w:tcPr>
          <w:p w14:paraId="44DDA574">
            <w:pPr>
              <w:numPr>
                <w:ilvl w:val="0"/>
                <w:numId w:val="0"/>
              </w:numPr>
              <w:rPr>
                <w:rFonts w:hint="eastAsia"/>
                <w:vertAlign w:val="baseline"/>
                <w:lang w:val="en-US" w:eastAsia="zh-CN"/>
              </w:rPr>
            </w:pPr>
            <w:r>
              <w:rPr>
                <w:rFonts w:hint="eastAsia"/>
                <w:vertAlign w:val="baseline"/>
                <w:lang w:val="en-US" w:eastAsia="zh-CN"/>
              </w:rPr>
              <w:t>关键运营指标可分析、可对比。</w:t>
            </w:r>
          </w:p>
        </w:tc>
      </w:tr>
      <w:tr w14:paraId="7F6C3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77FC93F2">
            <w:pPr>
              <w:rPr>
                <w:rFonts w:hint="default"/>
                <w:vertAlign w:val="baseline"/>
                <w:lang w:val="en-US" w:eastAsia="zh-CN"/>
              </w:rPr>
            </w:pPr>
            <w:r>
              <w:rPr>
                <w:rFonts w:hint="eastAsia"/>
                <w:b/>
                <w:bCs/>
                <w:vertAlign w:val="baseline"/>
                <w:lang w:val="en-US" w:eastAsia="zh-CN"/>
              </w:rPr>
              <w:t>四、核心业务应用</w:t>
            </w:r>
            <w:r>
              <w:rPr>
                <w:rFonts w:hint="eastAsia"/>
                <w:vertAlign w:val="baseline"/>
                <w:lang w:val="en-US" w:eastAsia="zh-CN"/>
              </w:rPr>
              <w:t>（餐厨垃圾+生物柴油）</w:t>
            </w:r>
          </w:p>
        </w:tc>
        <w:tc>
          <w:tcPr>
            <w:tcW w:w="1685" w:type="dxa"/>
          </w:tcPr>
          <w:p w14:paraId="59753816">
            <w:pPr>
              <w:rPr>
                <w:rFonts w:hint="eastAsia"/>
                <w:vertAlign w:val="baseline"/>
                <w:lang w:val="en-US" w:eastAsia="zh-CN"/>
              </w:rPr>
            </w:pPr>
            <w:r>
              <w:rPr>
                <w:rFonts w:hint="eastAsia"/>
                <w:vertAlign w:val="baseline"/>
                <w:lang w:val="en-US" w:eastAsia="zh-CN"/>
              </w:rPr>
              <w:t>生产过程可视化</w:t>
            </w:r>
          </w:p>
        </w:tc>
        <w:tc>
          <w:tcPr>
            <w:tcW w:w="4905" w:type="dxa"/>
          </w:tcPr>
          <w:p w14:paraId="390E52A1">
            <w:pPr>
              <w:numPr>
                <w:ilvl w:val="-1"/>
                <w:numId w:val="0"/>
              </w:numPr>
              <w:rPr>
                <w:rFonts w:hint="eastAsia"/>
                <w:vertAlign w:val="baseline"/>
                <w:lang w:val="en-US" w:eastAsia="zh-CN"/>
              </w:rPr>
            </w:pPr>
            <w:r>
              <w:rPr>
                <w:rFonts w:hint="eastAsia"/>
                <w:vertAlign w:val="baseline"/>
                <w:lang w:val="en-US" w:eastAsia="zh-CN"/>
              </w:rPr>
              <w:t>规划餐厨垃圾处理、生物柴油酶法工艺的生产流程示意与关键参数展示方式，体现工艺特点与管理关注点。</w:t>
            </w:r>
          </w:p>
        </w:tc>
        <w:tc>
          <w:tcPr>
            <w:tcW w:w="2005" w:type="dxa"/>
          </w:tcPr>
          <w:p w14:paraId="44F661B0">
            <w:pPr>
              <w:numPr>
                <w:ilvl w:val="-1"/>
                <w:numId w:val="0"/>
              </w:numPr>
              <w:rPr>
                <w:rFonts w:hint="eastAsia"/>
                <w:vertAlign w:val="baseline"/>
                <w:lang w:val="en-US" w:eastAsia="zh-CN"/>
              </w:rPr>
            </w:pPr>
            <w:r>
              <w:rPr>
                <w:rFonts w:hint="eastAsia"/>
                <w:vertAlign w:val="baseline"/>
                <w:lang w:val="en-US" w:eastAsia="zh-CN"/>
              </w:rPr>
              <w:t>生产状态直观呈现，提升运行透明度。</w:t>
            </w:r>
          </w:p>
        </w:tc>
      </w:tr>
      <w:tr w14:paraId="0FD23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28221BC5">
            <w:pPr>
              <w:rPr>
                <w:rFonts w:hint="eastAsia"/>
                <w:vertAlign w:val="baseline"/>
                <w:lang w:val="en-US" w:eastAsia="zh-CN"/>
              </w:rPr>
            </w:pPr>
          </w:p>
        </w:tc>
        <w:tc>
          <w:tcPr>
            <w:tcW w:w="1685" w:type="dxa"/>
          </w:tcPr>
          <w:p w14:paraId="337037C0">
            <w:pPr>
              <w:rPr>
                <w:rFonts w:hint="default"/>
                <w:vertAlign w:val="baseline"/>
                <w:lang w:val="en-US" w:eastAsia="zh-CN"/>
              </w:rPr>
            </w:pPr>
            <w:r>
              <w:rPr>
                <w:rFonts w:hint="eastAsia"/>
                <w:vertAlign w:val="baseline"/>
                <w:lang w:val="en-US" w:eastAsia="zh-CN"/>
              </w:rPr>
              <w:t>物料管理（生物柴油）</w:t>
            </w:r>
          </w:p>
        </w:tc>
        <w:tc>
          <w:tcPr>
            <w:tcW w:w="4905" w:type="dxa"/>
          </w:tcPr>
          <w:p w14:paraId="5F007416">
            <w:pPr>
              <w:numPr>
                <w:ilvl w:val="-1"/>
                <w:numId w:val="0"/>
              </w:numPr>
              <w:rPr>
                <w:rFonts w:hint="eastAsia"/>
                <w:vertAlign w:val="baseline"/>
                <w:lang w:val="en-US" w:eastAsia="zh-CN"/>
              </w:rPr>
            </w:pPr>
            <w:r>
              <w:rPr>
                <w:rFonts w:hint="eastAsia"/>
                <w:vertAlign w:val="baseline"/>
                <w:lang w:val="en-US" w:eastAsia="zh-CN"/>
              </w:rPr>
              <w:t>设计原料、成品、辅料（如甲醇）进出厂、库存与罐区物料动态展示与管理方案。</w:t>
            </w:r>
          </w:p>
        </w:tc>
        <w:tc>
          <w:tcPr>
            <w:tcW w:w="2005" w:type="dxa"/>
          </w:tcPr>
          <w:p w14:paraId="63A5118D">
            <w:pPr>
              <w:numPr>
                <w:ilvl w:val="-1"/>
                <w:numId w:val="0"/>
              </w:numPr>
              <w:rPr>
                <w:rFonts w:ascii="宋体" w:hAnsi="宋体" w:eastAsia="宋体" w:cs="宋体"/>
                <w:sz w:val="24"/>
                <w:szCs w:val="24"/>
              </w:rPr>
            </w:pPr>
            <w:r>
              <w:rPr>
                <w:rFonts w:hint="eastAsia" w:asciiTheme="minorHAnsi" w:hAnsiTheme="minorHAnsi" w:eastAsiaTheme="minorEastAsia" w:cstheme="minorBidi"/>
                <w:sz w:val="21"/>
                <w:szCs w:val="24"/>
              </w:rPr>
              <w:t>物料流向清晰、库存状态可视。</w:t>
            </w:r>
          </w:p>
        </w:tc>
      </w:tr>
      <w:tr w14:paraId="378AF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494FFEE3">
            <w:pPr>
              <w:rPr>
                <w:rFonts w:hint="eastAsia"/>
                <w:vertAlign w:val="baseline"/>
                <w:lang w:val="en-US" w:eastAsia="zh-CN"/>
              </w:rPr>
            </w:pPr>
          </w:p>
        </w:tc>
        <w:tc>
          <w:tcPr>
            <w:tcW w:w="1685" w:type="dxa"/>
          </w:tcPr>
          <w:p w14:paraId="7F405A92">
            <w:pPr>
              <w:rPr>
                <w:rFonts w:hint="default"/>
                <w:vertAlign w:val="baseline"/>
                <w:lang w:val="en-US" w:eastAsia="zh-CN"/>
              </w:rPr>
            </w:pPr>
            <w:r>
              <w:rPr>
                <w:rFonts w:hint="eastAsia"/>
                <w:vertAlign w:val="baseline"/>
                <w:lang w:val="en-US" w:eastAsia="zh-CN"/>
              </w:rPr>
              <w:t>化验管理（生物柴油）</w:t>
            </w:r>
          </w:p>
        </w:tc>
        <w:tc>
          <w:tcPr>
            <w:tcW w:w="4905" w:type="dxa"/>
          </w:tcPr>
          <w:p w14:paraId="222D580E">
            <w:pPr>
              <w:numPr>
                <w:ilvl w:val="-1"/>
                <w:numId w:val="0"/>
              </w:numPr>
              <w:rPr>
                <w:rFonts w:hint="eastAsia"/>
                <w:vertAlign w:val="baseline"/>
                <w:lang w:val="en-US" w:eastAsia="zh-CN"/>
              </w:rPr>
            </w:pPr>
            <w:r>
              <w:rPr>
                <w:rFonts w:hint="eastAsia"/>
                <w:vertAlign w:val="baseline"/>
                <w:lang w:val="en-US" w:eastAsia="zh-CN"/>
              </w:rPr>
              <w:t>规划在线检测与人工化验数据的统一管理与展示方式。</w:t>
            </w:r>
          </w:p>
        </w:tc>
        <w:tc>
          <w:tcPr>
            <w:tcW w:w="2005" w:type="dxa"/>
          </w:tcPr>
          <w:p w14:paraId="13190CD0">
            <w:pPr>
              <w:numPr>
                <w:ilvl w:val="-1"/>
                <w:numId w:val="0"/>
              </w:numPr>
              <w:rPr>
                <w:rFonts w:hint="eastAsia" w:asciiTheme="minorHAnsi" w:hAnsiTheme="minorHAnsi" w:eastAsiaTheme="minorEastAsia" w:cstheme="minorBidi"/>
                <w:sz w:val="21"/>
                <w:szCs w:val="24"/>
              </w:rPr>
            </w:pPr>
            <w:r>
              <w:rPr>
                <w:rFonts w:hint="eastAsia" w:asciiTheme="minorHAnsi" w:hAnsiTheme="minorHAnsi" w:eastAsiaTheme="minorEastAsia" w:cstheme="minorBidi"/>
                <w:sz w:val="21"/>
                <w:szCs w:val="24"/>
              </w:rPr>
              <w:t>化验数据集中、可追溯。</w:t>
            </w:r>
          </w:p>
        </w:tc>
      </w:tr>
      <w:tr w14:paraId="6F9EB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4332BBE1">
            <w:pPr>
              <w:rPr>
                <w:rFonts w:hint="default"/>
                <w:vertAlign w:val="baseline"/>
                <w:lang w:val="en-US" w:eastAsia="zh-CN"/>
              </w:rPr>
            </w:pPr>
            <w:r>
              <w:rPr>
                <w:rFonts w:hint="eastAsia"/>
                <w:b/>
                <w:bCs/>
                <w:vertAlign w:val="baseline"/>
                <w:lang w:val="en-US" w:eastAsia="zh-CN"/>
              </w:rPr>
              <w:t>五、生产运营管理体系</w:t>
            </w:r>
          </w:p>
        </w:tc>
        <w:tc>
          <w:tcPr>
            <w:tcW w:w="1685" w:type="dxa"/>
          </w:tcPr>
          <w:p w14:paraId="0043DABE">
            <w:pPr>
              <w:rPr>
                <w:rFonts w:hint="default"/>
                <w:vertAlign w:val="baseline"/>
                <w:lang w:val="en-US" w:eastAsia="zh-CN"/>
              </w:rPr>
            </w:pPr>
            <w:r>
              <w:rPr>
                <w:rFonts w:hint="eastAsia"/>
                <w:vertAlign w:val="baseline"/>
                <w:lang w:val="en-US" w:eastAsia="zh-CN"/>
              </w:rPr>
              <w:t>设备全生命周期管理</w:t>
            </w:r>
          </w:p>
        </w:tc>
        <w:tc>
          <w:tcPr>
            <w:tcW w:w="4905" w:type="dxa"/>
          </w:tcPr>
          <w:p w14:paraId="492C4696">
            <w:pPr>
              <w:numPr>
                <w:ilvl w:val="-1"/>
                <w:numId w:val="0"/>
              </w:numPr>
              <w:rPr>
                <w:rFonts w:hint="eastAsia"/>
                <w:vertAlign w:val="baseline"/>
                <w:lang w:val="en-US" w:eastAsia="zh-CN"/>
              </w:rPr>
            </w:pPr>
            <w:r>
              <w:rPr>
                <w:rFonts w:hint="eastAsia"/>
                <w:vertAlign w:val="baseline"/>
                <w:lang w:val="en-US" w:eastAsia="zh-CN"/>
              </w:rPr>
              <w:t>1、设备台账与维护：设计“一机一档”、检维修、保养计划、特种设备管理的整体功能架构。</w:t>
            </w:r>
          </w:p>
          <w:p w14:paraId="14119B4C">
            <w:pPr>
              <w:numPr>
                <w:ilvl w:val="-1"/>
                <w:numId w:val="0"/>
              </w:numPr>
              <w:rPr>
                <w:rFonts w:hint="default"/>
                <w:vertAlign w:val="baseline"/>
                <w:lang w:val="en-US" w:eastAsia="zh-CN"/>
              </w:rPr>
            </w:pPr>
            <w:r>
              <w:rPr>
                <w:rFonts w:hint="eastAsia"/>
                <w:vertAlign w:val="baseline"/>
                <w:lang w:val="en-US" w:eastAsia="zh-CN"/>
              </w:rPr>
              <w:t>2、设备健康分析：从规划角度提出基于多源数据的重要设备健康评估与故障预测设计思路，不限定算法与精度指标。</w:t>
            </w:r>
          </w:p>
          <w:p w14:paraId="7CE49155">
            <w:pPr>
              <w:numPr>
                <w:ilvl w:val="-1"/>
                <w:numId w:val="0"/>
              </w:numPr>
              <w:rPr>
                <w:rFonts w:hint="eastAsia"/>
                <w:vertAlign w:val="baseline"/>
                <w:lang w:val="en-US" w:eastAsia="zh-CN"/>
              </w:rPr>
            </w:pPr>
            <w:r>
              <w:rPr>
                <w:rFonts w:hint="eastAsia"/>
                <w:vertAlign w:val="baseline"/>
                <w:lang w:val="en-US" w:eastAsia="zh-CN"/>
              </w:rPr>
              <w:t>3. 设备知识库：沉淀维修经验、技术手册，形成故障处理知识库，为维修提供智能辅助。</w:t>
            </w:r>
          </w:p>
          <w:p w14:paraId="4AB03D69">
            <w:pPr>
              <w:numPr>
                <w:ilvl w:val="-1"/>
                <w:numId w:val="0"/>
              </w:numPr>
              <w:rPr>
                <w:rFonts w:hint="eastAsia"/>
                <w:vertAlign w:val="baseline"/>
                <w:lang w:val="en-US" w:eastAsia="zh-CN"/>
              </w:rPr>
            </w:pPr>
          </w:p>
        </w:tc>
        <w:tc>
          <w:tcPr>
            <w:tcW w:w="2005" w:type="dxa"/>
          </w:tcPr>
          <w:p w14:paraId="4982C134">
            <w:pPr>
              <w:numPr>
                <w:ilvl w:val="-1"/>
                <w:numId w:val="0"/>
              </w:numPr>
              <w:rPr>
                <w:rFonts w:hint="eastAsia"/>
                <w:vertAlign w:val="baseline"/>
                <w:lang w:val="en-US" w:eastAsia="zh-CN"/>
              </w:rPr>
            </w:pPr>
            <w:r>
              <w:rPr>
                <w:rFonts w:hint="eastAsia"/>
                <w:vertAlign w:val="baseline"/>
                <w:lang w:val="en-US" w:eastAsia="zh-CN"/>
              </w:rPr>
              <w:t>设备状态透明、管理规范，支撑预测性维护能力建设。</w:t>
            </w:r>
          </w:p>
        </w:tc>
      </w:tr>
      <w:tr w14:paraId="22ABA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0" w:hRule="atLeast"/>
        </w:trPr>
        <w:tc>
          <w:tcPr>
            <w:tcW w:w="647" w:type="dxa"/>
            <w:vMerge w:val="continue"/>
          </w:tcPr>
          <w:p w14:paraId="7646CC01">
            <w:pPr>
              <w:rPr>
                <w:rFonts w:hint="default"/>
                <w:vertAlign w:val="baseline"/>
                <w:lang w:val="en-US" w:eastAsia="zh-CN"/>
              </w:rPr>
            </w:pPr>
          </w:p>
        </w:tc>
        <w:tc>
          <w:tcPr>
            <w:tcW w:w="1685" w:type="dxa"/>
          </w:tcPr>
          <w:p w14:paraId="52691B40">
            <w:pPr>
              <w:rPr>
                <w:rFonts w:hint="default"/>
                <w:vertAlign w:val="baseline"/>
                <w:lang w:val="en-US" w:eastAsia="zh-CN"/>
              </w:rPr>
            </w:pPr>
            <w:r>
              <w:rPr>
                <w:rFonts w:hint="eastAsia"/>
                <w:vertAlign w:val="baseline"/>
                <w:lang w:val="en-US" w:eastAsia="zh-CN"/>
              </w:rPr>
              <w:t>能源管理</w:t>
            </w:r>
          </w:p>
        </w:tc>
        <w:tc>
          <w:tcPr>
            <w:tcW w:w="4905" w:type="dxa"/>
          </w:tcPr>
          <w:p w14:paraId="11311BB8">
            <w:pPr>
              <w:numPr>
                <w:ilvl w:val="-1"/>
                <w:numId w:val="0"/>
              </w:numPr>
              <w:rPr>
                <w:rFonts w:hint="eastAsia"/>
                <w:vertAlign w:val="baseline"/>
                <w:lang w:val="en-US" w:eastAsia="zh-CN"/>
              </w:rPr>
            </w:pPr>
            <w:r>
              <w:rPr>
                <w:rFonts w:hint="eastAsia"/>
                <w:b/>
                <w:bCs/>
                <w:vertAlign w:val="baseline"/>
                <w:lang w:val="en-US" w:eastAsia="zh-CN"/>
              </w:rPr>
              <w:t>能源监测与能耗分析</w:t>
            </w:r>
            <w:r>
              <w:rPr>
                <w:rFonts w:hint="eastAsia"/>
                <w:vertAlign w:val="baseline"/>
                <w:lang w:val="en-US" w:eastAsia="zh-CN"/>
              </w:rPr>
              <w:t xml:space="preserve">：在既有用电自平衡与发电控制系统已完成设计的前提下，规划水、电、蒸汽、沼气等能源数据的接入、分析与可视化展示方式。  </w:t>
            </w:r>
          </w:p>
          <w:p w14:paraId="7718DC91">
            <w:pPr>
              <w:numPr>
                <w:ilvl w:val="-1"/>
                <w:numId w:val="0"/>
              </w:numPr>
              <w:rPr>
                <w:rFonts w:hint="eastAsia"/>
                <w:vertAlign w:val="baseline"/>
                <w:lang w:val="en-US" w:eastAsia="zh-CN"/>
              </w:rPr>
            </w:pPr>
          </w:p>
        </w:tc>
        <w:tc>
          <w:tcPr>
            <w:tcW w:w="2005" w:type="dxa"/>
          </w:tcPr>
          <w:p w14:paraId="3FE1FCEB">
            <w:pPr>
              <w:numPr>
                <w:ilvl w:val="-1"/>
                <w:numId w:val="0"/>
              </w:numPr>
              <w:spacing w:line="360" w:lineRule="auto"/>
              <w:ind w:firstLine="0" w:firstLineChars="0"/>
              <w:jc w:val="left"/>
              <w:rPr>
                <w:rFonts w:hint="default"/>
                <w:vertAlign w:val="baseline"/>
                <w:lang w:val="en-US" w:eastAsia="zh-CN"/>
              </w:rPr>
            </w:pPr>
            <w:r>
              <w:rPr>
                <w:rFonts w:hint="eastAsia"/>
                <w:vertAlign w:val="baseline"/>
                <w:lang w:val="en-US" w:eastAsia="zh-CN"/>
              </w:rPr>
              <w:t>实现能源消耗与能源平衡状态的可视化分析，</w:t>
            </w:r>
            <w:r>
              <w:rPr>
                <w:rFonts w:hint="eastAsia" w:asciiTheme="minorHAnsi" w:hAnsiTheme="minorHAnsi" w:eastAsiaTheme="minorEastAsia" w:cstheme="minorBidi"/>
                <w:kern w:val="2"/>
                <w:sz w:val="21"/>
                <w:lang w:bidi="ar"/>
              </w:rPr>
              <w:t>为能源优化运行和管理决策提供支撑</w:t>
            </w:r>
            <w:r>
              <w:rPr>
                <w:rFonts w:hint="eastAsia" w:asciiTheme="minorHAnsi" w:hAnsiTheme="minorHAnsi" w:eastAsiaTheme="minorEastAsia" w:cstheme="minorBidi"/>
                <w:kern w:val="2"/>
                <w:sz w:val="21"/>
                <w:lang w:eastAsia="zh-CN" w:bidi="ar"/>
              </w:rPr>
              <w:t>。</w:t>
            </w:r>
          </w:p>
        </w:tc>
      </w:tr>
      <w:tr w14:paraId="77103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tcPr>
          <w:p w14:paraId="23A2BD53">
            <w:pPr>
              <w:rPr>
                <w:rFonts w:hint="default"/>
                <w:vertAlign w:val="baseline"/>
                <w:lang w:val="en-US" w:eastAsia="zh-CN"/>
              </w:rPr>
            </w:pPr>
          </w:p>
        </w:tc>
        <w:tc>
          <w:tcPr>
            <w:tcW w:w="1685" w:type="dxa"/>
          </w:tcPr>
          <w:p w14:paraId="56741294">
            <w:pPr>
              <w:rPr>
                <w:rFonts w:hint="default"/>
                <w:vertAlign w:val="baseline"/>
                <w:lang w:val="en-US" w:eastAsia="zh-CN"/>
              </w:rPr>
            </w:pPr>
            <w:r>
              <w:rPr>
                <w:rFonts w:hint="eastAsia"/>
                <w:vertAlign w:val="baseline"/>
                <w:lang w:val="en-US" w:eastAsia="zh-CN"/>
              </w:rPr>
              <w:t>碳减排管理与核算分析</w:t>
            </w:r>
          </w:p>
        </w:tc>
        <w:tc>
          <w:tcPr>
            <w:tcW w:w="4905" w:type="dxa"/>
          </w:tcPr>
          <w:p w14:paraId="47FA9625">
            <w:pPr>
              <w:numPr>
                <w:ilvl w:val="-1"/>
                <w:numId w:val="0"/>
              </w:numPr>
              <w:rPr>
                <w:rFonts w:hint="eastAsia"/>
                <w:vertAlign w:val="baseline"/>
                <w:lang w:val="en-US" w:eastAsia="zh-CN"/>
              </w:rPr>
            </w:pPr>
            <w:r>
              <w:rPr>
                <w:rFonts w:hint="eastAsia"/>
                <w:b/>
                <w:bCs/>
                <w:vertAlign w:val="baseline"/>
                <w:lang w:val="en-US" w:eastAsia="zh-CN"/>
              </w:rPr>
              <w:t>碳减排核算与减排贡献分析（基于方法学）</w:t>
            </w:r>
            <w:r>
              <w:rPr>
                <w:rFonts w:hint="eastAsia"/>
                <w:vertAlign w:val="baseline"/>
                <w:lang w:val="en-US" w:eastAsia="zh-CN"/>
              </w:rPr>
              <w:t>：结合餐厨垃圾、厨余垃圾、废弃食用油脂等有机废弃物资源化处理业务特性，规划基于行业标准与方法学的碳减排核算体系，对项目在有机废弃物减量化、资源化、能源化利用过程中形成的碳减排量与减排贡献进行系统性测算、分析与展示。</w:t>
            </w:r>
          </w:p>
        </w:tc>
        <w:tc>
          <w:tcPr>
            <w:tcW w:w="2005" w:type="dxa"/>
          </w:tcPr>
          <w:p w14:paraId="20A10A5E">
            <w:pPr>
              <w:numPr>
                <w:ilvl w:val="-1"/>
                <w:numId w:val="0"/>
              </w:numPr>
              <w:rPr>
                <w:rFonts w:hint="eastAsia"/>
                <w:vertAlign w:val="baseline"/>
                <w:lang w:val="en-US" w:eastAsia="zh-CN"/>
              </w:rPr>
            </w:pPr>
            <w:r>
              <w:rPr>
                <w:rFonts w:hint="eastAsia"/>
                <w:vertAlign w:val="baseline"/>
                <w:lang w:val="en-US" w:eastAsia="zh-CN"/>
              </w:rPr>
              <w:t>清晰量化项目在餐厨垃圾等有机废弃物资源化处理过程中的碳减排贡献，支撑双碳管理、政策合规及对外展示需求。</w:t>
            </w:r>
          </w:p>
        </w:tc>
      </w:tr>
      <w:tr w14:paraId="75BC9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75A126AD">
            <w:pPr>
              <w:rPr>
                <w:rFonts w:hint="default"/>
                <w:vertAlign w:val="baseline"/>
                <w:lang w:val="en-US" w:eastAsia="zh-CN"/>
              </w:rPr>
            </w:pPr>
          </w:p>
        </w:tc>
        <w:tc>
          <w:tcPr>
            <w:tcW w:w="1685" w:type="dxa"/>
          </w:tcPr>
          <w:p w14:paraId="25A1485F">
            <w:pPr>
              <w:numPr>
                <w:ilvl w:val="0"/>
                <w:numId w:val="0"/>
              </w:numPr>
              <w:rPr>
                <w:rFonts w:hint="default"/>
                <w:vertAlign w:val="baseline"/>
                <w:lang w:val="en-US" w:eastAsia="zh-CN"/>
              </w:rPr>
            </w:pPr>
            <w:r>
              <w:rPr>
                <w:rFonts w:hint="eastAsia" w:asciiTheme="minorHAnsi" w:hAnsiTheme="minorHAnsi" w:eastAsiaTheme="minorEastAsia" w:cstheme="minorBidi"/>
                <w:sz w:val="21"/>
                <w:szCs w:val="24"/>
              </w:rPr>
              <w:t>安全与环保管理</w:t>
            </w:r>
          </w:p>
        </w:tc>
        <w:tc>
          <w:tcPr>
            <w:tcW w:w="4905" w:type="dxa"/>
          </w:tcPr>
          <w:p w14:paraId="3E18D9CC">
            <w:pPr>
              <w:numPr>
                <w:ilvl w:val="-1"/>
                <w:numId w:val="0"/>
              </w:numPr>
              <w:rPr>
                <w:rFonts w:hint="default"/>
                <w:vertAlign w:val="baseline"/>
                <w:lang w:val="en-US" w:eastAsia="zh-CN"/>
              </w:rPr>
            </w:pPr>
            <w:r>
              <w:rPr>
                <w:rFonts w:hint="eastAsia"/>
                <w:vertAlign w:val="baseline"/>
                <w:lang w:val="en-US" w:eastAsia="zh-CN"/>
              </w:rPr>
              <w:t>规划 AI 视频、安全行为识别、三废（废水、废气、废渣）在线监测与预警的系统集成方案。</w:t>
            </w:r>
          </w:p>
        </w:tc>
        <w:tc>
          <w:tcPr>
            <w:tcW w:w="2005" w:type="dxa"/>
          </w:tcPr>
          <w:p w14:paraId="62D50EE4">
            <w:pPr>
              <w:numPr>
                <w:ilvl w:val="-1"/>
                <w:numId w:val="0"/>
              </w:numPr>
              <w:rPr>
                <w:rFonts w:hint="eastAsia"/>
                <w:vertAlign w:val="baseline"/>
                <w:lang w:val="en-US" w:eastAsia="zh-CN"/>
              </w:rPr>
            </w:pPr>
            <w:r>
              <w:rPr>
                <w:rFonts w:hint="eastAsia"/>
                <w:vertAlign w:val="baseline"/>
                <w:lang w:val="en-US" w:eastAsia="zh-CN"/>
              </w:rPr>
              <w:t>安全与环保风险可控。</w:t>
            </w:r>
          </w:p>
        </w:tc>
      </w:tr>
      <w:tr w14:paraId="53C5F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647" w:type="dxa"/>
            <w:vMerge w:val="continue"/>
          </w:tcPr>
          <w:p w14:paraId="2E25CF72">
            <w:pPr>
              <w:rPr>
                <w:rFonts w:hint="default"/>
                <w:vertAlign w:val="baseline"/>
                <w:lang w:val="en-US" w:eastAsia="zh-CN"/>
              </w:rPr>
            </w:pPr>
          </w:p>
        </w:tc>
        <w:tc>
          <w:tcPr>
            <w:tcW w:w="1685" w:type="dxa"/>
          </w:tcPr>
          <w:p w14:paraId="1A4E001D">
            <w:pPr>
              <w:numPr>
                <w:ilvl w:val="0"/>
                <w:numId w:val="0"/>
              </w:numPr>
              <w:rPr>
                <w:rFonts w:hint="default"/>
                <w:vertAlign w:val="baseline"/>
                <w:lang w:val="en-US" w:eastAsia="zh-CN"/>
              </w:rPr>
            </w:pPr>
            <w:r>
              <w:rPr>
                <w:rFonts w:hint="eastAsia"/>
                <w:vertAlign w:val="baseline"/>
                <w:lang w:val="en-US" w:eastAsia="zh-CN"/>
              </w:rPr>
              <w:t>智慧仓储</w:t>
            </w:r>
          </w:p>
        </w:tc>
        <w:tc>
          <w:tcPr>
            <w:tcW w:w="4905" w:type="dxa"/>
          </w:tcPr>
          <w:p w14:paraId="54FE6A61">
            <w:pPr>
              <w:numPr>
                <w:ilvl w:val="-1"/>
                <w:numId w:val="0"/>
              </w:numPr>
              <w:rPr>
                <w:rFonts w:hint="default"/>
                <w:vertAlign w:val="baseline"/>
                <w:lang w:val="en-US" w:eastAsia="zh-CN"/>
              </w:rPr>
            </w:pPr>
            <w:r>
              <w:rPr>
                <w:rFonts w:hint="default"/>
                <w:vertAlign w:val="baseline"/>
                <w:lang w:val="en-US" w:eastAsia="zh-CN"/>
              </w:rPr>
              <w:t>设计备品备件与辅料的出入库、库存与成本可视化管理方案。</w:t>
            </w:r>
          </w:p>
        </w:tc>
        <w:tc>
          <w:tcPr>
            <w:tcW w:w="2005" w:type="dxa"/>
          </w:tcPr>
          <w:p w14:paraId="72C95129">
            <w:pPr>
              <w:numPr>
                <w:ilvl w:val="-1"/>
                <w:numId w:val="0"/>
              </w:numPr>
              <w:rPr>
                <w:rFonts w:hint="eastAsia" w:asciiTheme="minorHAnsi" w:hAnsiTheme="minorHAnsi" w:eastAsiaTheme="minorEastAsia" w:cstheme="minorBidi"/>
                <w:color w:val="auto"/>
                <w:vertAlign w:val="baseline"/>
                <w:lang w:val="en-US" w:eastAsia="zh-CN"/>
              </w:rPr>
            </w:pPr>
            <w:r>
              <w:rPr>
                <w:rFonts w:hint="eastAsia" w:asciiTheme="minorHAnsi" w:hAnsiTheme="minorHAnsi" w:eastAsiaTheme="minorEastAsia" w:cstheme="minorBidi"/>
                <w:color w:val="auto"/>
                <w:vertAlign w:val="baseline"/>
                <w:lang w:val="en-US" w:eastAsia="zh-CN"/>
              </w:rPr>
              <w:t>提升物资管理效率与成本意识。</w:t>
            </w:r>
          </w:p>
        </w:tc>
      </w:tr>
      <w:tr w14:paraId="48157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647" w:type="dxa"/>
            <w:vMerge w:val="restart"/>
          </w:tcPr>
          <w:p w14:paraId="770BD4F9">
            <w:pPr>
              <w:rPr>
                <w:rFonts w:hint="default"/>
                <w:vertAlign w:val="baseline"/>
                <w:lang w:val="en-US" w:eastAsia="zh-CN"/>
              </w:rPr>
            </w:pPr>
            <w:r>
              <w:rPr>
                <w:rFonts w:hint="eastAsia"/>
                <w:b/>
                <w:bCs/>
                <w:vertAlign w:val="baseline"/>
                <w:lang w:val="en-US" w:eastAsia="zh-CN"/>
              </w:rPr>
              <w:t>六、智能优化与辅助决策</w:t>
            </w:r>
          </w:p>
        </w:tc>
        <w:tc>
          <w:tcPr>
            <w:tcW w:w="1685" w:type="dxa"/>
          </w:tcPr>
          <w:p w14:paraId="605A6B39">
            <w:pPr>
              <w:rPr>
                <w:rFonts w:hint="default"/>
                <w:vertAlign w:val="baseline"/>
                <w:lang w:val="en-US" w:eastAsia="zh-CN"/>
              </w:rPr>
            </w:pPr>
            <w:r>
              <w:rPr>
                <w:rFonts w:hint="eastAsia"/>
                <w:vertAlign w:val="baseline"/>
                <w:lang w:val="en-US" w:eastAsia="zh-CN"/>
              </w:rPr>
              <w:t>工艺智能优化</w:t>
            </w:r>
          </w:p>
        </w:tc>
        <w:tc>
          <w:tcPr>
            <w:tcW w:w="4905" w:type="dxa"/>
          </w:tcPr>
          <w:p w14:paraId="6310BE97">
            <w:pPr>
              <w:keepNext w:val="0"/>
              <w:keepLines w:val="0"/>
              <w:widowControl/>
              <w:suppressLineNumbers w:val="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从设计层面规划工艺参数分析、寻优与对标分析能力。</w:t>
            </w:r>
          </w:p>
          <w:p w14:paraId="3C149276">
            <w:pPr>
              <w:keepNext w:val="0"/>
              <w:keepLines w:val="0"/>
              <w:widowControl/>
              <w:suppressLineNumbers w:val="0"/>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1. 基于历史数据和算法模型，对关键工艺参数（如厌氧发酵温度、酶反应时间、提油率等）进行寻优，提供优化建议。 </w:t>
            </w:r>
          </w:p>
          <w:p w14:paraId="450F3CD1">
            <w:pPr>
              <w:keepNext w:val="0"/>
              <w:keepLines w:val="0"/>
              <w:widowControl/>
              <w:suppressLineNumbers w:val="0"/>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2. 建立智能分析系统，对生产过程中的异常（如螺旋机卡塞、浆料温度异常）进行自动识别、报警，并提供处理预案。</w:t>
            </w:r>
          </w:p>
          <w:p w14:paraId="637E2FB1">
            <w:pPr>
              <w:numPr>
                <w:ilvl w:val="-1"/>
                <w:numId w:val="0"/>
              </w:numPr>
              <w:rPr>
                <w:rFonts w:hint="eastAsia"/>
                <w:vertAlign w:val="baseline"/>
                <w:lang w:val="en-US" w:eastAsia="zh-CN"/>
              </w:rPr>
            </w:pPr>
          </w:p>
        </w:tc>
        <w:tc>
          <w:tcPr>
            <w:tcW w:w="2005" w:type="dxa"/>
          </w:tcPr>
          <w:p w14:paraId="12007EC3">
            <w:pPr>
              <w:numPr>
                <w:ilvl w:val="-1"/>
                <w:numId w:val="0"/>
              </w:numPr>
              <w:rPr>
                <w:rFonts w:hint="eastAsia"/>
                <w:vertAlign w:val="baseline"/>
                <w:lang w:val="en-US" w:eastAsia="zh-CN"/>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为运营优化提供决策支持。</w:t>
            </w:r>
          </w:p>
        </w:tc>
      </w:tr>
      <w:tr w14:paraId="2EE96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647" w:type="dxa"/>
            <w:vMerge w:val="continue"/>
          </w:tcPr>
          <w:p w14:paraId="7D4F7537">
            <w:pPr>
              <w:rPr>
                <w:rFonts w:hint="eastAsia"/>
                <w:b/>
                <w:bCs/>
                <w:vertAlign w:val="baseline"/>
                <w:lang w:val="en-US" w:eastAsia="zh-CN"/>
              </w:rPr>
            </w:pPr>
          </w:p>
        </w:tc>
        <w:tc>
          <w:tcPr>
            <w:tcW w:w="1685" w:type="dxa"/>
          </w:tcPr>
          <w:p w14:paraId="71F60FCB">
            <w:pPr>
              <w:rPr>
                <w:rFonts w:hint="eastAsia"/>
                <w:vertAlign w:val="baseline"/>
                <w:lang w:val="en-US" w:eastAsia="zh-CN"/>
              </w:rPr>
            </w:pPr>
            <w:r>
              <w:rPr>
                <w:rFonts w:hint="eastAsia"/>
              </w:rPr>
              <w:t>智能问答与知识辅助</w:t>
            </w:r>
          </w:p>
        </w:tc>
        <w:tc>
          <w:tcPr>
            <w:tcW w:w="4905" w:type="dxa"/>
          </w:tcPr>
          <w:p w14:paraId="2C144CE1">
            <w:pPr>
              <w:numPr>
                <w:ilvl w:val="-1"/>
                <w:numId w:val="0"/>
              </w:numPr>
              <w:rPr>
                <w:rFonts w:hint="eastAsia"/>
                <w:vertAlign w:val="baseline"/>
                <w:lang w:val="en-US" w:eastAsia="zh-CN"/>
              </w:rPr>
            </w:pPr>
            <w:r>
              <w:rPr>
                <w:rFonts w:hint="eastAsia"/>
                <w:lang w:val="en-US" w:eastAsia="zh-CN"/>
              </w:rPr>
              <w:t>规划</w:t>
            </w:r>
            <w:r>
              <w:rPr>
                <w:rFonts w:hint="eastAsia"/>
              </w:rPr>
              <w:t>基于企业私域知识库的智能问答系统，用于工艺知识查询、设备故障诊断辅助、安全规程智能检索等场景，提升一线人员知识获取效率与决策准确性</w:t>
            </w:r>
            <w:r>
              <w:rPr>
                <w:rFonts w:hint="eastAsia"/>
                <w:lang w:eastAsia="zh-CN"/>
              </w:rPr>
              <w:t>。</w:t>
            </w:r>
          </w:p>
        </w:tc>
        <w:tc>
          <w:tcPr>
            <w:tcW w:w="2005" w:type="dxa"/>
          </w:tcPr>
          <w:p w14:paraId="0B8BF8E6">
            <w:pPr>
              <w:numPr>
                <w:ilvl w:val="-1"/>
                <w:numId w:val="0"/>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提升员工的快速上岗、知识获取效率</w:t>
            </w:r>
          </w:p>
        </w:tc>
      </w:tr>
      <w:tr w14:paraId="3EA64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35185E82">
            <w:pPr>
              <w:rPr>
                <w:rFonts w:hint="default"/>
                <w:vertAlign w:val="baseline"/>
                <w:lang w:val="en-US" w:eastAsia="zh-CN"/>
              </w:rPr>
            </w:pPr>
          </w:p>
        </w:tc>
        <w:tc>
          <w:tcPr>
            <w:tcW w:w="1685" w:type="dxa"/>
          </w:tcPr>
          <w:p w14:paraId="2BA5846E">
            <w:pPr>
              <w:rPr>
                <w:rFonts w:hint="default"/>
                <w:vertAlign w:val="baseline"/>
                <w:lang w:val="en-US" w:eastAsia="zh-CN"/>
              </w:rPr>
            </w:pPr>
            <w:r>
              <w:rPr>
                <w:rFonts w:hint="eastAsia"/>
                <w:vertAlign w:val="baseline"/>
                <w:lang w:val="en-US" w:eastAsia="zh-CN"/>
              </w:rPr>
              <w:t>无人化作业</w:t>
            </w:r>
          </w:p>
        </w:tc>
        <w:tc>
          <w:tcPr>
            <w:tcW w:w="4905" w:type="dxa"/>
          </w:tcPr>
          <w:p w14:paraId="0C93D1ED">
            <w:pPr>
              <w:keepNext w:val="0"/>
              <w:keepLines w:val="0"/>
              <w:widowControl/>
              <w:suppressLineNumbers w:val="0"/>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规划巡检机器人、卸料引导等无人化作业的整体架构与接入方式。</w:t>
            </w:r>
            <w:r>
              <w:rPr>
                <w:rFonts w:hint="eastAsia" w:ascii="宋体" w:hAnsi="宋体" w:eastAsia="宋体" w:cs="宋体"/>
                <w:color w:val="000000" w:themeColor="text1"/>
                <w:kern w:val="0"/>
                <w:sz w:val="21"/>
                <w:szCs w:val="21"/>
                <w:lang w:val="en-US" w:eastAsia="zh-CN" w:bidi="ar"/>
                <w14:textFill>
                  <w14:solidFill>
                    <w14:schemeClr w14:val="tx1"/>
                  </w14:solidFill>
                </w14:textFill>
              </w:rPr>
              <w:br w:type="textWrapping"/>
            </w:r>
            <w:r>
              <w:rPr>
                <w:rFonts w:hint="eastAsia" w:ascii="宋体" w:hAnsi="宋体" w:eastAsia="宋体" w:cs="宋体"/>
                <w:color w:val="000000" w:themeColor="text1"/>
                <w:kern w:val="0"/>
                <w:sz w:val="21"/>
                <w:szCs w:val="21"/>
                <w:lang w:val="en-US" w:eastAsia="zh-CN" w:bidi="ar"/>
                <w14:textFill>
                  <w14:solidFill>
                    <w14:schemeClr w14:val="tx1"/>
                  </w14:solidFill>
                </w14:textFill>
              </w:rPr>
              <w:t>典型应用场景示例如下（不限于）：</w:t>
            </w:r>
            <w:r>
              <w:rPr>
                <w:rFonts w:hint="eastAsia" w:ascii="宋体" w:hAnsi="宋体" w:eastAsia="宋体" w:cs="宋体"/>
                <w:color w:val="000000" w:themeColor="text1"/>
                <w:kern w:val="0"/>
                <w:sz w:val="21"/>
                <w:szCs w:val="21"/>
                <w:lang w:val="en-US" w:eastAsia="zh-CN" w:bidi="ar"/>
                <w14:textFill>
                  <w14:solidFill>
                    <w14:schemeClr w14:val="tx1"/>
                  </w14:solidFill>
                </w14:textFill>
              </w:rPr>
              <w:br w:type="textWrapping"/>
            </w: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1. </w:t>
            </w: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机器巡检</w:t>
            </w: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：在生产车间、厌氧罐顶等区域设置轨道，部署巡检机器人，搭载高清摄像、红外热成像、有毒气体检测等传感器，实现无人化巡检。 </w:t>
            </w:r>
          </w:p>
          <w:p w14:paraId="7C7051A6">
            <w:pPr>
              <w:widowControl/>
              <w:numPr>
                <w:ilvl w:val="0"/>
                <w:numId w:val="7"/>
              </w:numPr>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卸料大厅引导</w:t>
            </w:r>
            <w:r>
              <w:rPr>
                <w:rFonts w:hint="eastAsia" w:ascii="宋体" w:hAnsi="宋体" w:eastAsia="宋体" w:cs="宋体"/>
                <w:color w:val="000000" w:themeColor="text1"/>
                <w:kern w:val="0"/>
                <w:sz w:val="21"/>
                <w:szCs w:val="21"/>
                <w:lang w:val="en-US" w:eastAsia="zh-CN" w:bidi="ar"/>
                <w14:textFill>
                  <w14:solidFill>
                    <w14:schemeClr w14:val="tx1"/>
                  </w14:solidFill>
                </w14:textFill>
              </w:rPr>
              <w:t>：配置引导机器人，对来料车辆进行卸料位置引导、车牌识别登记，并检查卸车流程。</w:t>
            </w:r>
          </w:p>
          <w:p w14:paraId="5D7E6EE1">
            <w:pPr>
              <w:numPr>
                <w:ilvl w:val="0"/>
                <w:numId w:val="7"/>
              </w:numPr>
              <w:ind w:left="0" w:leftChars="0" w:firstLine="0" w:firstLineChars="0"/>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无人驾驶：无人驾驶筛上物转运（园区内）、无人驾驶环境清洁车可行性应用场景研究。</w:t>
            </w:r>
          </w:p>
        </w:tc>
        <w:tc>
          <w:tcPr>
            <w:tcW w:w="2005" w:type="dxa"/>
          </w:tcPr>
          <w:p w14:paraId="70D9C5BA">
            <w:pPr>
              <w:widowControl/>
              <w:numPr>
                <w:ilvl w:val="-1"/>
                <w:numId w:val="0"/>
              </w:numPr>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提升自动化与安全水平。</w:t>
            </w:r>
          </w:p>
        </w:tc>
      </w:tr>
      <w:tr w14:paraId="0662E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7" w:hRule="atLeast"/>
        </w:trPr>
        <w:tc>
          <w:tcPr>
            <w:tcW w:w="647" w:type="dxa"/>
            <w:vMerge w:val="restart"/>
          </w:tcPr>
          <w:p w14:paraId="3C63795F">
            <w:pPr>
              <w:rPr>
                <w:rFonts w:hint="default"/>
                <w:vertAlign w:val="baseline"/>
                <w:lang w:val="en-US" w:eastAsia="zh-CN"/>
              </w:rPr>
            </w:pPr>
            <w:r>
              <w:rPr>
                <w:rFonts w:hint="eastAsia"/>
                <w:b/>
                <w:bCs/>
                <w:vertAlign w:val="baseline"/>
                <w:lang w:val="en-US" w:eastAsia="zh-CN"/>
              </w:rPr>
              <w:t>七、数字孪生与可视化</w:t>
            </w:r>
          </w:p>
        </w:tc>
        <w:tc>
          <w:tcPr>
            <w:tcW w:w="1685" w:type="dxa"/>
          </w:tcPr>
          <w:p w14:paraId="469706B7">
            <w:pPr>
              <w:rPr>
                <w:rFonts w:hint="default"/>
                <w:vertAlign w:val="baseline"/>
                <w:lang w:val="en-US" w:eastAsia="zh-CN"/>
              </w:rPr>
            </w:pPr>
            <w:r>
              <w:rPr>
                <w:rFonts w:hint="eastAsia"/>
                <w:vertAlign w:val="baseline"/>
                <w:lang w:val="en-US" w:eastAsia="zh-CN"/>
              </w:rPr>
              <w:t>数字孪生工厂</w:t>
            </w:r>
          </w:p>
        </w:tc>
        <w:tc>
          <w:tcPr>
            <w:tcW w:w="4905" w:type="dxa"/>
          </w:tcPr>
          <w:p w14:paraId="306F23DC">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从规划设计层面，构建覆盖园区级、车间级及核心工艺流程（餐厨垃圾处理、生物柴油酶法工艺、能源系统等）的三维数字孪生总体架构，明确三维模型、工艺流程、实时/准实时数据之间的映射关系与集成路径。数字孪生以“运行可感知、过程可呈现、状态可分析”为目标，重点用于运行监控、状态展示与管理分析，不作为现场控制系统的替代。</w:t>
            </w:r>
          </w:p>
        </w:tc>
        <w:tc>
          <w:tcPr>
            <w:tcW w:w="2005" w:type="dxa"/>
          </w:tcPr>
          <w:p w14:paraId="1143D759">
            <w:pPr>
              <w:widowControl/>
              <w:numPr>
                <w:ilvl w:val="-1"/>
                <w:numId w:val="0"/>
              </w:numPr>
              <w:jc w:val="left"/>
              <w:rPr>
                <w:rFonts w:hint="default"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支撑生产运行状态的直观呈现（基于实时或准实时数据）、工艺流程的可视化展示、关键指标的空间化分析，为运行管理、分析研判及示范展示提供直观支撑。</w:t>
            </w:r>
          </w:p>
        </w:tc>
      </w:tr>
      <w:tr w14:paraId="0FA7C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769AF845">
            <w:pPr>
              <w:rPr>
                <w:rFonts w:hint="default"/>
                <w:vertAlign w:val="baseline"/>
                <w:lang w:val="en-US" w:eastAsia="zh-CN"/>
              </w:rPr>
            </w:pPr>
          </w:p>
        </w:tc>
        <w:tc>
          <w:tcPr>
            <w:tcW w:w="1685" w:type="dxa"/>
          </w:tcPr>
          <w:p w14:paraId="3C5A78ED">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智能驾驶舱</w:t>
            </w:r>
          </w:p>
        </w:tc>
        <w:tc>
          <w:tcPr>
            <w:tcW w:w="4905" w:type="dxa"/>
          </w:tcPr>
          <w:p w14:paraId="3CB006A5">
            <w:pPr>
              <w:widowControl/>
              <w:numPr>
                <w:ilvl w:val="-1"/>
                <w:numId w:val="0"/>
              </w:numPr>
              <w:jc w:val="left"/>
              <w:rPr>
                <w:rFonts w:hint="default"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规划工厂级智能驾驶舱的总体架构与指标体系，从管理视角集中展示生产、设备、能源、减碳贡献、安全与环保等核心 KPI 指标，支持结合AI算法对企业的各项指标进行自动聚合与下钻分析。驾驶舱重点体现管理决策所需的关键信息，并可随时通过智能决策系统进一步深挖、横向分析，可自主生成分析报告并对外展示。</w:t>
            </w:r>
          </w:p>
        </w:tc>
        <w:tc>
          <w:tcPr>
            <w:tcW w:w="2005" w:type="dxa"/>
          </w:tcPr>
          <w:p w14:paraId="216EC8ED">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管理层可在智能决策平台中快速掌握工厂整体运行态势，提升决策效率与管理透明度，并从智能辅助决策系统中得到相应的经营改善建议。</w:t>
            </w:r>
          </w:p>
        </w:tc>
      </w:tr>
      <w:tr w14:paraId="261A3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2CC8A965">
            <w:pPr>
              <w:rPr>
                <w:rFonts w:hint="default"/>
                <w:vertAlign w:val="baseline"/>
                <w:lang w:val="en-US" w:eastAsia="zh-CN"/>
              </w:rPr>
            </w:pPr>
          </w:p>
        </w:tc>
        <w:tc>
          <w:tcPr>
            <w:tcW w:w="1685" w:type="dxa"/>
          </w:tcPr>
          <w:p w14:paraId="7B0AA0AB">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车间生产看板</w:t>
            </w:r>
          </w:p>
          <w:p w14:paraId="75ACB77C">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p>
        </w:tc>
        <w:tc>
          <w:tcPr>
            <w:tcW w:w="4905" w:type="dxa"/>
          </w:tcPr>
          <w:p w14:paraId="6A4D8828">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规划面向生产现场的车间级信息展示方案，在生产车间、中控室等关键区域，通过电子看板展示生产指令、关键工艺参数、设备运行状态、安全环保指标、待办事项及预警信息。展示内容与频率根据现场管理需要进行分级设计。</w:t>
            </w:r>
          </w:p>
        </w:tc>
        <w:tc>
          <w:tcPr>
            <w:tcW w:w="2005" w:type="dxa"/>
          </w:tcPr>
          <w:p w14:paraId="4FB2A8F9">
            <w:pPr>
              <w:widowControl/>
              <w:numPr>
                <w:ilvl w:val="-1"/>
                <w:numId w:val="0"/>
              </w:numPr>
              <w:jc w:val="left"/>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pPr>
            <w:r>
              <w:rPr>
                <w:rFonts w:hint="eastAsia" w:ascii="宋体" w:hAnsi="宋体" w:eastAsia="宋体" w:cs="宋体"/>
                <w:b w:val="0"/>
                <w:bCs w:val="0"/>
                <w:color w:val="000000" w:themeColor="text1"/>
                <w:kern w:val="0"/>
                <w:sz w:val="21"/>
                <w:szCs w:val="21"/>
                <w:lang w:val="en-US" w:eastAsia="zh-CN" w:bidi="ar"/>
                <w14:textFill>
                  <w14:solidFill>
                    <w14:schemeClr w14:val="tx1"/>
                  </w14:solidFill>
                </w14:textFill>
              </w:rPr>
              <w:t>提升生产现场信息透明度，增强一线人员对生产状态与风险的感知能力，辅助现场管理与协同。</w:t>
            </w:r>
          </w:p>
        </w:tc>
      </w:tr>
      <w:tr w14:paraId="73D12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1ACF3D42">
            <w:pPr>
              <w:rPr>
                <w:rFonts w:hint="default"/>
                <w:vertAlign w:val="baseline"/>
                <w:lang w:val="en-US" w:eastAsia="zh-CN"/>
              </w:rPr>
            </w:pPr>
            <w:r>
              <w:rPr>
                <w:rFonts w:hint="eastAsia"/>
                <w:b/>
                <w:bCs/>
                <w:vertAlign w:val="baseline"/>
                <w:lang w:val="en-US" w:eastAsia="zh-CN"/>
              </w:rPr>
              <w:t>八、平台与基础设施</w:t>
            </w:r>
          </w:p>
        </w:tc>
        <w:tc>
          <w:tcPr>
            <w:tcW w:w="1685" w:type="dxa"/>
          </w:tcPr>
          <w:p w14:paraId="19E804EB">
            <w:pPr>
              <w:rPr>
                <w:rFonts w:hint="default"/>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工业互联网平台</w:t>
            </w:r>
          </w:p>
        </w:tc>
        <w:tc>
          <w:tcPr>
            <w:tcW w:w="4905" w:type="dxa"/>
          </w:tcPr>
          <w:p w14:paraId="63A15CB0">
            <w:pPr>
              <w:keepNext w:val="0"/>
              <w:keepLines w:val="0"/>
              <w:widowControl/>
              <w:suppressLineNumbers w:val="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1. 规划一个统一的工业互联网平台作为数智化系统的底座，承载各类工业应用与数据服务。</w:t>
            </w:r>
          </w:p>
          <w:p w14:paraId="28B4513C">
            <w:pPr>
              <w:numPr>
                <w:ilvl w:val="-1"/>
                <w:numId w:val="0"/>
              </w:numPr>
              <w:rPr>
                <w:rFonts w:hint="eastAsia"/>
                <w:color w:val="000000" w:themeColor="text1"/>
                <w:vertAlign w:val="baseline"/>
                <w:lang w:val="en-US" w:eastAsia="zh-CN"/>
                <w14:textFill>
                  <w14:solidFill>
                    <w14:schemeClr w14:val="tx1"/>
                  </w14:solidFill>
                </w14:textFill>
              </w:rPr>
            </w:pPr>
          </w:p>
        </w:tc>
        <w:tc>
          <w:tcPr>
            <w:tcW w:w="2005" w:type="dxa"/>
          </w:tcPr>
          <w:p w14:paraId="2E2EA46F">
            <w:pPr>
              <w:numPr>
                <w:ilvl w:val="-1"/>
                <w:numId w:val="0"/>
              </w:numPr>
              <w:rPr>
                <w:rFonts w:hint="eastAsia"/>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平台统一、能力可扩展。</w:t>
            </w:r>
          </w:p>
        </w:tc>
      </w:tr>
      <w:tr w14:paraId="5817D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06F12CBB">
            <w:pPr>
              <w:rPr>
                <w:rFonts w:hint="default"/>
                <w:vertAlign w:val="baseline"/>
                <w:lang w:val="en-US" w:eastAsia="zh-CN"/>
              </w:rPr>
            </w:pPr>
          </w:p>
        </w:tc>
        <w:tc>
          <w:tcPr>
            <w:tcW w:w="1685" w:type="dxa"/>
          </w:tcPr>
          <w:p w14:paraId="0C657E91">
            <w:pPr>
              <w:keepNext w:val="0"/>
              <w:keepLines w:val="0"/>
              <w:widowControl/>
              <w:suppressLineNumbers w:val="0"/>
              <w:jc w:val="left"/>
              <w:rPr>
                <w:rFonts w:hint="default"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系统集成与平台能力</w:t>
            </w:r>
          </w:p>
        </w:tc>
        <w:tc>
          <w:tcPr>
            <w:tcW w:w="4905" w:type="dxa"/>
          </w:tcPr>
          <w:p w14:paraId="3831BEBE">
            <w:pPr>
              <w:keepNext w:val="0"/>
              <w:keepLines w:val="0"/>
              <w:widowControl/>
              <w:suppressLineNumbers w:val="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设计低代码、系统集成（ERP、EAM、OA、收运系统、钉钉等）、统一身份认证、工作流与消息中心等平台能力。</w:t>
            </w:r>
          </w:p>
        </w:tc>
        <w:tc>
          <w:tcPr>
            <w:tcW w:w="2005" w:type="dxa"/>
          </w:tcPr>
          <w:p w14:paraId="624DCD03">
            <w:pPr>
              <w:keepNext w:val="0"/>
              <w:keepLines w:val="0"/>
              <w:widowControl/>
              <w:suppressLineNumbers w:val="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提升系统扩展性与运维效率。</w:t>
            </w:r>
          </w:p>
        </w:tc>
      </w:tr>
      <w:tr w14:paraId="1850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tcPr>
          <w:p w14:paraId="1AB76A5A">
            <w:pPr>
              <w:rPr>
                <w:rFonts w:hint="default"/>
                <w:vertAlign w:val="baseline"/>
                <w:lang w:val="en-US" w:eastAsia="zh-CN"/>
              </w:rPr>
            </w:pPr>
            <w:r>
              <w:rPr>
                <w:rFonts w:hint="eastAsia" w:cstheme="minorBidi"/>
                <w:b/>
                <w:bCs/>
                <w:i w:val="0"/>
                <w:iCs w:val="0"/>
                <w:caps w:val="0"/>
                <w:spacing w:val="0"/>
                <w:sz w:val="21"/>
                <w:szCs w:val="24"/>
                <w:shd w:val="clear" w:fill="auto"/>
                <w:lang w:val="en-US" w:eastAsia="zh-CN"/>
              </w:rPr>
              <w:t>九</w:t>
            </w:r>
            <w:r>
              <w:rPr>
                <w:rFonts w:hint="eastAsia" w:asciiTheme="minorHAnsi" w:hAnsiTheme="minorHAnsi" w:eastAsiaTheme="minorEastAsia" w:cstheme="minorBidi"/>
                <w:b/>
                <w:bCs/>
                <w:i w:val="0"/>
                <w:iCs w:val="0"/>
                <w:caps w:val="0"/>
                <w:spacing w:val="0"/>
                <w:sz w:val="21"/>
                <w:szCs w:val="24"/>
                <w:shd w:val="clear" w:fill="auto"/>
              </w:rPr>
              <w:t>、科普教育与机器人展示</w:t>
            </w:r>
          </w:p>
        </w:tc>
        <w:tc>
          <w:tcPr>
            <w:tcW w:w="1685" w:type="dxa"/>
            <w:vAlign w:val="center"/>
          </w:tcPr>
          <w:p w14:paraId="47D2C9AA">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科普教育数字化平台</w:t>
            </w:r>
          </w:p>
        </w:tc>
        <w:tc>
          <w:tcPr>
            <w:tcW w:w="4905" w:type="dxa"/>
            <w:vAlign w:val="center"/>
          </w:tcPr>
          <w:p w14:paraId="4AB56B00">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1、规划数字孪生 + VR/AR 融合展示方案，可视化呈现生物技术原理、有机废弃物 “收运 - 处理 - 资源化” 全流程；</w:t>
            </w:r>
          </w:p>
          <w:p w14:paraId="526E9207">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2、设计互动式科普内容架构，涵盖知识问答、工艺流程模拟等模块；</w:t>
            </w: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br w:type="textWrapping"/>
            </w: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3、规划访客管理与智能导览系统，支持参观预约、路线规划、自动讲解等功能；</w:t>
            </w:r>
          </w:p>
          <w:p w14:paraId="41D4A5CE">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4、预留与工业旅游管理系统的数据接口，支撑 3A/4A 级景区运营需求。</w:t>
            </w:r>
          </w:p>
        </w:tc>
        <w:tc>
          <w:tcPr>
            <w:tcW w:w="2005" w:type="dxa"/>
            <w:vAlign w:val="center"/>
          </w:tcPr>
          <w:p w14:paraId="7012BF79">
            <w:pPr>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color w:val="000000" w:themeColor="text1"/>
                <w:kern w:val="0"/>
                <w:sz w:val="21"/>
                <w:szCs w:val="21"/>
                <w:lang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打造沉浸式、互动式科普教育平台，实现生物科技知识普及与产业示范功能，支撑工业旅游标准化运营。</w:t>
            </w:r>
          </w:p>
        </w:tc>
      </w:tr>
      <w:tr w14:paraId="34024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0DED62DC">
            <w:pPr>
              <w:rPr>
                <w:rFonts w:hint="default"/>
                <w:vertAlign w:val="baseline"/>
                <w:lang w:val="en-US" w:eastAsia="zh-CN"/>
              </w:rPr>
            </w:pPr>
          </w:p>
        </w:tc>
        <w:tc>
          <w:tcPr>
            <w:tcW w:w="1685" w:type="dxa"/>
            <w:shd w:val="clear" w:color="auto" w:fill="auto"/>
            <w:vAlign w:val="center"/>
          </w:tcPr>
          <w:p w14:paraId="77BB0A40">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机器人展示与应用系统</w:t>
            </w:r>
          </w:p>
        </w:tc>
        <w:tc>
          <w:tcPr>
            <w:tcW w:w="4905" w:type="dxa"/>
            <w:shd w:val="clear" w:color="auto" w:fill="auto"/>
            <w:vAlign w:val="center"/>
          </w:tcPr>
          <w:p w14:paraId="55CF4D38">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1、生产运营类机器人：规划环境监测机器人、车间清洁机器人、设备巡检机器人、无人驾驶车（园区内）的部署架构、传感器配置与数智化平台接入方案；</w:t>
            </w:r>
          </w:p>
          <w:p w14:paraId="4CA54E7C">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2、展示服务类机器人：设计展厅迎宾机器人、讲解机器人的功能模块，包括语音交互、路线引导、项目介绍、互动问答等能力；</w:t>
            </w:r>
          </w:p>
          <w:p w14:paraId="0E623214">
            <w:pPr>
              <w:keepNext w:val="0"/>
              <w:keepLines w:val="0"/>
              <w:widowControl/>
              <w:numPr>
                <w:ilvl w:val="0"/>
                <w:numId w:val="0"/>
              </w:numPr>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kern w:val="2"/>
                <w:sz w:val="24"/>
                <w:szCs w:val="24"/>
                <w:lang w:val="en-US" w:eastAsia="zh-CN" w:bidi="ar-SA"/>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3、明确机器人与数字孪生平台、视频监控系统的数据协同机制，支撑机器人作业状态可视化与远程调度。</w:t>
            </w:r>
          </w:p>
        </w:tc>
        <w:tc>
          <w:tcPr>
            <w:tcW w:w="2005" w:type="dxa"/>
            <w:vAlign w:val="center"/>
          </w:tcPr>
          <w:p w14:paraId="20C4B89A">
            <w:pPr>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color w:val="000000" w:themeColor="text1"/>
                <w:kern w:val="0"/>
                <w:sz w:val="21"/>
                <w:szCs w:val="21"/>
                <w:lang w:bidi="ar"/>
                <w14:textFill>
                  <w14:solidFill>
                    <w14:schemeClr w14:val="tx1"/>
                  </w14:solidFill>
                </w14:textFill>
              </w:rPr>
            </w:pPr>
            <w:r>
              <w:rPr>
                <w:rFonts w:hint="eastAsia" w:ascii="宋体" w:hAnsi="宋体" w:eastAsia="宋体" w:cs="宋体"/>
                <w:i w:val="0"/>
                <w:iCs w:val="0"/>
                <w:caps w:val="0"/>
                <w:color w:val="000000" w:themeColor="text1"/>
                <w:spacing w:val="0"/>
                <w:kern w:val="0"/>
                <w:sz w:val="21"/>
                <w:szCs w:val="21"/>
                <w:lang w:val="en-US" w:eastAsia="zh-CN" w:bidi="ar"/>
                <w14:textFill>
                  <w14:solidFill>
                    <w14:schemeClr w14:val="tx1"/>
                  </w14:solidFill>
                </w14:textFill>
              </w:rPr>
              <w:t>实现生产环节无人化作业升级，提升工厂科技化水平；打造智能化展厅互动体验，彰显 “世界级生物能源超级工厂” 示范形象。</w:t>
            </w:r>
          </w:p>
        </w:tc>
      </w:tr>
      <w:tr w14:paraId="1182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restart"/>
            <w:shd w:val="clear" w:color="auto" w:fill="auto"/>
            <w:vAlign w:val="top"/>
          </w:tcPr>
          <w:p w14:paraId="13BD8770">
            <w:pPr>
              <w:rPr>
                <w:rFonts w:hint="default" w:asciiTheme="minorHAnsi" w:hAnsiTheme="minorHAnsi" w:eastAsiaTheme="minorEastAsia" w:cstheme="minorBidi"/>
                <w:kern w:val="2"/>
                <w:sz w:val="21"/>
                <w:szCs w:val="24"/>
                <w:vertAlign w:val="baseline"/>
                <w:lang w:val="en-US" w:eastAsia="zh-CN" w:bidi="ar-SA"/>
              </w:rPr>
            </w:pPr>
            <w:r>
              <w:rPr>
                <w:rFonts w:hint="eastAsia"/>
                <w:b/>
                <w:bCs/>
                <w:vertAlign w:val="baseline"/>
                <w:lang w:val="en-US" w:eastAsia="zh-CN"/>
              </w:rPr>
              <w:t>十、集团级一体化平台</w:t>
            </w:r>
          </w:p>
        </w:tc>
        <w:tc>
          <w:tcPr>
            <w:tcW w:w="1685" w:type="dxa"/>
            <w:shd w:val="clear" w:color="auto" w:fill="auto"/>
            <w:vAlign w:val="top"/>
          </w:tcPr>
          <w:p w14:paraId="6F953EE4">
            <w:pPr>
              <w:numPr>
                <w:ilvl w:val="0"/>
                <w:numId w:val="0"/>
              </w:numPr>
              <w:ind w:left="0" w:leftChars="0" w:firstLine="0" w:firstLineChars="0"/>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集团级智能驾驶舱</w:t>
            </w:r>
          </w:p>
        </w:tc>
        <w:tc>
          <w:tcPr>
            <w:tcW w:w="4905" w:type="dxa"/>
            <w:shd w:val="clear" w:color="auto" w:fill="auto"/>
            <w:vAlign w:val="top"/>
          </w:tcPr>
          <w:p w14:paraId="4D0F45FC">
            <w:pPr>
              <w:numPr>
                <w:ilvl w:val="0"/>
                <w:numId w:val="0"/>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规划集团统一指标体系与智能决策驾驶舱架构，支持多厂区集中展示、经营自主分析与智能监管。</w:t>
            </w:r>
          </w:p>
          <w:p w14:paraId="093EBDCA">
            <w:pPr>
              <w:numPr>
                <w:ilvl w:val="0"/>
                <w:numId w:val="0"/>
              </w:numPr>
              <w:rPr>
                <w:rFonts w:hint="eastAsia" w:ascii="宋体" w:hAnsi="宋体" w:eastAsia="宋体" w:cs="宋体"/>
                <w:color w:val="000000" w:themeColor="text1"/>
                <w:kern w:val="0"/>
                <w:sz w:val="21"/>
                <w:szCs w:val="21"/>
                <w:lang w:val="en-US" w:eastAsia="zh-CN" w:bidi="ar"/>
                <w14:textFill>
                  <w14:solidFill>
                    <w14:schemeClr w14:val="tx1"/>
                  </w14:solidFill>
                </w14:textFill>
              </w:rPr>
            </w:pPr>
          </w:p>
          <w:p w14:paraId="65702EF5">
            <w:pPr>
              <w:numPr>
                <w:ilvl w:val="0"/>
                <w:numId w:val="8"/>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集成下属所有厂区（初期以通州项目为核心，后期对接中山、龙岗、广州等厂区的数据）的核心运营数据，从集团视角集中展示关键绩效指标（KPI），包括但不限于：总处理量、总产出量（沼气、生物柴油、有机肥）、总能耗、综合碳排放/碳减排量、集团整体OEE（设备综合效率）、安全环保事件概览等。</w:t>
            </w:r>
          </w:p>
          <w:p w14:paraId="1A9FA8B0">
            <w:pPr>
              <w:numPr>
                <w:ilvl w:val="0"/>
                <w:numId w:val="8"/>
              </w:numPr>
              <w:rPr>
                <w:rFonts w:hint="default"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多维下钻分析：支持从集团-厂区-车间-设备的多层级数据钻取，实现对异常指标的快速溯源分析。 </w:t>
            </w:r>
          </w:p>
          <w:p w14:paraId="5211F90B">
            <w:pPr>
              <w:numPr>
                <w:ilvl w:val="0"/>
                <w:numId w:val="8"/>
              </w:numPr>
              <w:rPr>
                <w:rFonts w:hint="default"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高层决策视图：为集团管理层提供定制化的战略视图，聚焦于财务回报、产能利用率、战略项目进展等核心决策信息。</w:t>
            </w:r>
          </w:p>
          <w:p w14:paraId="50EA48BC">
            <w:pPr>
              <w:numPr>
                <w:ilvl w:val="0"/>
                <w:numId w:val="8"/>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default" w:ascii="宋体" w:hAnsi="宋体" w:eastAsia="宋体" w:cs="宋体"/>
                <w:color w:val="000000" w:themeColor="text1"/>
                <w:kern w:val="0"/>
                <w:sz w:val="21"/>
                <w:szCs w:val="21"/>
                <w:lang w:val="en-US" w:eastAsia="zh-CN" w:bidi="ar"/>
                <w14:textFill>
                  <w14:solidFill>
                    <w14:schemeClr w14:val="tx1"/>
                  </w14:solidFill>
                </w14:textFill>
              </w:rPr>
              <w:t>规划集团级指标体系与驾驶舱架构，支持多厂区统一展示与分析。</w:t>
            </w:r>
          </w:p>
        </w:tc>
        <w:tc>
          <w:tcPr>
            <w:tcW w:w="2005" w:type="dxa"/>
            <w:shd w:val="clear" w:color="auto" w:fill="auto"/>
            <w:vAlign w:val="top"/>
          </w:tcPr>
          <w:p w14:paraId="0F1AB4C2">
            <w:pPr>
              <w:widowControl/>
              <w:numPr>
                <w:ilvl w:val="-1"/>
                <w:numId w:val="0"/>
              </w:numPr>
              <w:ind w:left="0" w:lef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bidi="ar"/>
                <w14:textFill>
                  <w14:solidFill>
                    <w14:schemeClr w14:val="tx1"/>
                  </w14:solidFill>
                </w14:textFill>
              </w:rPr>
              <w:t>集团集中管控与</w:t>
            </w:r>
            <w:r>
              <w:rPr>
                <w:rFonts w:hint="eastAsia" w:ascii="宋体" w:hAnsi="宋体" w:eastAsia="宋体" w:cs="宋体"/>
                <w:color w:val="000000" w:themeColor="text1"/>
                <w:kern w:val="0"/>
                <w:sz w:val="21"/>
                <w:szCs w:val="21"/>
                <w:lang w:val="en-US" w:eastAsia="zh-CN" w:bidi="ar"/>
                <w14:textFill>
                  <w14:solidFill>
                    <w14:schemeClr w14:val="tx1"/>
                  </w14:solidFill>
                </w14:textFill>
              </w:rPr>
              <w:t>智能</w:t>
            </w:r>
            <w:r>
              <w:rPr>
                <w:rFonts w:hint="eastAsia" w:ascii="宋体" w:hAnsi="宋体" w:eastAsia="宋体" w:cs="宋体"/>
                <w:color w:val="000000" w:themeColor="text1"/>
                <w:kern w:val="0"/>
                <w:sz w:val="21"/>
                <w:szCs w:val="21"/>
                <w:lang w:bidi="ar"/>
                <w14:textFill>
                  <w14:solidFill>
                    <w14:schemeClr w14:val="tx1"/>
                  </w14:solidFill>
                </w14:textFill>
              </w:rPr>
              <w:t>决策支持。</w:t>
            </w:r>
          </w:p>
        </w:tc>
      </w:tr>
      <w:tr w14:paraId="333BB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03FDD8FA">
            <w:pPr>
              <w:rPr>
                <w:rFonts w:hint="default"/>
                <w:vertAlign w:val="baseline"/>
                <w:lang w:val="en-US" w:eastAsia="zh-CN"/>
              </w:rPr>
            </w:pPr>
          </w:p>
        </w:tc>
        <w:tc>
          <w:tcPr>
            <w:tcW w:w="0" w:type="auto"/>
            <w:shd w:val="clear" w:color="auto" w:fill="auto"/>
            <w:vAlign w:val="top"/>
          </w:tcPr>
          <w:p w14:paraId="50FF0EB7">
            <w:pPr>
              <w:numPr>
                <w:ilvl w:val="0"/>
                <w:numId w:val="0"/>
              </w:numPr>
              <w:ind w:left="0" w:leftChars="0" w:firstLine="0" w:firstLineChars="0"/>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跨厂区对标分析</w:t>
            </w:r>
          </w:p>
        </w:tc>
        <w:tc>
          <w:tcPr>
            <w:tcW w:w="4905" w:type="dxa"/>
            <w:shd w:val="clear" w:color="auto" w:fill="auto"/>
            <w:vAlign w:val="top"/>
          </w:tcPr>
          <w:p w14:paraId="14098F76">
            <w:pPr>
              <w:numPr>
                <w:ilvl w:val="0"/>
                <w:numId w:val="0"/>
              </w:numPr>
              <w:rPr>
                <w:rFonts w:hint="eastAsia" w:ascii="宋体" w:hAnsi="宋体" w:eastAsia="宋体" w:cs="宋体"/>
                <w:sz w:val="24"/>
                <w:szCs w:val="24"/>
                <w:lang w:val="en-US" w:eastAsia="zh-CN"/>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设计多厂区 KPI、能耗、成本、效率等对标分析能力，规划借助智能AI工具进行自主、快速的对标分析。</w:t>
            </w:r>
          </w:p>
          <w:p w14:paraId="77B5D86E">
            <w:pPr>
              <w:numPr>
                <w:ilvl w:val="0"/>
                <w:numId w:val="9"/>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绩效横向对标：建立统一的KPI核算标准，支持在不同厂区之间进行同类指标（如吨处理能耗、提油率、人均产值、设备故障率）的横向对比分析，自动识别最优实践和落后指标。 </w:t>
            </w:r>
          </w:p>
          <w:p w14:paraId="5F05E83E">
            <w:pPr>
              <w:numPr>
                <w:ilvl w:val="0"/>
                <w:numId w:val="9"/>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成本对标分析：打通财务数据，实现各厂区吨处理成本、维修成本、药剂成本等多维度成本的对标分析，发现降本增效机会。 </w:t>
            </w:r>
          </w:p>
          <w:p w14:paraId="0D6CE5F2">
            <w:pPr>
              <w:numPr>
                <w:ilvl w:val="0"/>
                <w:numId w:val="9"/>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最佳实践发现：通过数据挖掘，自动发现并高亮展示持续表现优异的厂区、班组或特定工艺环节，为管理提升提供数据洞察。</w:t>
            </w:r>
          </w:p>
        </w:tc>
        <w:tc>
          <w:tcPr>
            <w:tcW w:w="2005" w:type="dxa"/>
            <w:shd w:val="clear" w:color="auto" w:fill="auto"/>
            <w:vAlign w:val="top"/>
          </w:tcPr>
          <w:p w14:paraId="3AE3242C">
            <w:pPr>
              <w:widowControl/>
              <w:numPr>
                <w:ilvl w:val="-1"/>
                <w:numId w:val="0"/>
              </w:numPr>
              <w:ind w:left="0" w:lef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bidi="ar"/>
                <w14:textFill>
                  <w14:solidFill>
                    <w14:schemeClr w14:val="tx1"/>
                  </w14:solidFill>
                </w14:textFill>
              </w:rPr>
              <w:t>推动集团持续优化与复制推广。</w:t>
            </w:r>
          </w:p>
        </w:tc>
      </w:tr>
      <w:tr w14:paraId="519DD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vMerge w:val="continue"/>
          </w:tcPr>
          <w:p w14:paraId="67BCDBAB">
            <w:pPr>
              <w:rPr>
                <w:rFonts w:hint="default"/>
                <w:vertAlign w:val="baseline"/>
                <w:lang w:val="en-US" w:eastAsia="zh-CN"/>
              </w:rPr>
            </w:pPr>
          </w:p>
        </w:tc>
        <w:tc>
          <w:tcPr>
            <w:tcW w:w="0" w:type="auto"/>
            <w:shd w:val="clear" w:color="auto" w:fill="auto"/>
            <w:vAlign w:val="top"/>
          </w:tcPr>
          <w:p w14:paraId="341CE225">
            <w:pPr>
              <w:numPr>
                <w:ilvl w:val="0"/>
                <w:numId w:val="0"/>
              </w:numPr>
              <w:ind w:left="0" w:leftChars="0" w:firstLine="0" w:firstLineChars="0"/>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标准化运营管理</w:t>
            </w:r>
          </w:p>
        </w:tc>
        <w:tc>
          <w:tcPr>
            <w:tcW w:w="4905" w:type="dxa"/>
            <w:shd w:val="clear" w:color="auto" w:fill="auto"/>
            <w:vAlign w:val="top"/>
          </w:tcPr>
          <w:p w14:paraId="728E4771">
            <w:pPr>
              <w:numPr>
                <w:ilvl w:val="0"/>
                <w:numId w:val="0"/>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规划集团标准化运营体系及新厂区快速接入与复制路径。</w:t>
            </w:r>
          </w:p>
          <w:p w14:paraId="3554F068">
            <w:pPr>
              <w:numPr>
                <w:ilvl w:val="0"/>
                <w:numId w:val="0"/>
              </w:numPr>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 xml:space="preserve">1、统一流程固化：将集团最佳运营管理实践（如SOP、安全规程、设备维护标准等）固化为平台的标准化流程模板。 </w:t>
            </w:r>
          </w:p>
          <w:p w14:paraId="2F26CD11">
            <w:pPr>
              <w:numPr>
                <w:ilvl w:val="0"/>
                <w:numId w:val="0"/>
              </w:numPr>
              <w:ind w:left="0" w:leftChars="0" w:firstLine="0" w:firstLineChars="0"/>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val="en-US" w:eastAsia="zh-CN" w:bidi="ar"/>
                <w14:textFill>
                  <w14:solidFill>
                    <w14:schemeClr w14:val="tx1"/>
                  </w14:solidFill>
                </w14:textFill>
              </w:rPr>
              <w:t>2、新厂区快速复制：支持新投建或收购的厂区能够通过平台一键部署标准化的管理体系，实现集团管理模式的快速复制和落地。</w:t>
            </w:r>
          </w:p>
        </w:tc>
        <w:tc>
          <w:tcPr>
            <w:tcW w:w="2005" w:type="dxa"/>
            <w:shd w:val="clear" w:color="auto" w:fill="auto"/>
            <w:vAlign w:val="top"/>
          </w:tcPr>
          <w:p w14:paraId="6DED9F43">
            <w:pPr>
              <w:widowControl/>
              <w:numPr>
                <w:ilvl w:val="-1"/>
                <w:numId w:val="0"/>
              </w:numPr>
              <w:ind w:left="0" w:leftChars="0" w:firstLine="0" w:firstLineChars="0"/>
              <w:jc w:val="left"/>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rFonts w:hint="eastAsia" w:ascii="宋体" w:hAnsi="宋体" w:eastAsia="宋体" w:cs="宋体"/>
                <w:color w:val="000000" w:themeColor="text1"/>
                <w:kern w:val="0"/>
                <w:sz w:val="21"/>
                <w:szCs w:val="21"/>
                <w:lang w:bidi="ar"/>
                <w14:textFill>
                  <w14:solidFill>
                    <w14:schemeClr w14:val="tx1"/>
                  </w14:solidFill>
                </w14:textFill>
              </w:rPr>
              <w:t>实现集团化规模扩展。</w:t>
            </w:r>
          </w:p>
        </w:tc>
      </w:tr>
    </w:tbl>
    <w:p w14:paraId="3779B4A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kern w:val="0"/>
          <w:sz w:val="24"/>
          <w:szCs w:val="24"/>
        </w:rPr>
      </w:pPr>
    </w:p>
    <w:p w14:paraId="4D3CD1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宋体" w:hAnsi="宋体" w:eastAsia="宋体" w:cs="宋体"/>
          <w:sz w:val="32"/>
          <w:szCs w:val="32"/>
          <w:lang w:val="en-US" w:eastAsia="zh-CN"/>
        </w:rPr>
      </w:pPr>
      <w:bookmarkStart w:id="58" w:name="_Toc28825"/>
      <w:bookmarkStart w:id="59" w:name="_Toc25889"/>
      <w:bookmarkStart w:id="60" w:name="_Toc1325"/>
      <w:r>
        <w:rPr>
          <w:rFonts w:hint="eastAsia" w:ascii="宋体" w:hAnsi="宋体" w:eastAsia="宋体" w:cs="宋体"/>
          <w:kern w:val="0"/>
          <w:sz w:val="24"/>
          <w:szCs w:val="24"/>
          <w:lang w:val="en-US" w:eastAsia="zh-CN"/>
        </w:rPr>
        <w:t>建设逻辑：数据基础 → 数据治理 → 分析能力 → 业务应用 → 生产管理体系 → 智能优化 → 可视化 → 平台底座 → 集团统筹</w:t>
      </w:r>
    </w:p>
    <w:p w14:paraId="5727703C">
      <w:pPr>
        <w:pStyle w:val="2"/>
        <w:keepNext/>
        <w:keepLines/>
        <w:widowControl w:val="0"/>
        <w:spacing w:line="240" w:lineRule="auto"/>
        <w:rPr>
          <w:rFonts w:hint="eastAsia" w:ascii="宋体" w:hAnsi="宋体" w:eastAsia="宋体" w:cs="宋体"/>
          <w:sz w:val="32"/>
          <w:szCs w:val="32"/>
        </w:rPr>
      </w:pPr>
      <w:bookmarkStart w:id="61" w:name="_Toc31530"/>
      <w:bookmarkStart w:id="62" w:name="_Toc19999"/>
      <w:bookmarkStart w:id="63" w:name="_Toc32116"/>
      <w:bookmarkStart w:id="64" w:name="_Toc29362"/>
      <w:r>
        <w:rPr>
          <w:rFonts w:hint="eastAsia" w:ascii="宋体" w:hAnsi="宋体" w:eastAsia="宋体" w:cs="宋体"/>
          <w:sz w:val="32"/>
          <w:szCs w:val="32"/>
          <w:lang w:val="en-US" w:eastAsia="zh-CN"/>
        </w:rPr>
        <w:t>四</w:t>
      </w:r>
      <w:r>
        <w:rPr>
          <w:rFonts w:hint="eastAsia" w:ascii="宋体" w:hAnsi="宋体" w:eastAsia="宋体" w:cs="宋体"/>
          <w:sz w:val="32"/>
          <w:szCs w:val="32"/>
        </w:rPr>
        <w:t>、总体设计要求</w:t>
      </w:r>
      <w:bookmarkEnd w:id="58"/>
      <w:bookmarkEnd w:id="59"/>
      <w:bookmarkEnd w:id="60"/>
      <w:bookmarkEnd w:id="61"/>
      <w:bookmarkEnd w:id="62"/>
      <w:bookmarkEnd w:id="63"/>
      <w:bookmarkEnd w:id="64"/>
    </w:p>
    <w:p w14:paraId="0054A595">
      <w:pPr>
        <w:pStyle w:val="3"/>
        <w:spacing w:line="240" w:lineRule="auto"/>
        <w:rPr>
          <w:rFonts w:hint="eastAsia" w:ascii="宋体" w:hAnsi="宋体" w:eastAsia="宋体" w:cs="宋体"/>
          <w:sz w:val="30"/>
          <w:szCs w:val="30"/>
          <w:lang w:val="en-US" w:eastAsia="zh-CN"/>
        </w:rPr>
      </w:pPr>
      <w:bookmarkStart w:id="65" w:name="_Toc12141"/>
      <w:bookmarkStart w:id="66" w:name="_Toc25771"/>
      <w:bookmarkStart w:id="67" w:name="_Toc17808"/>
      <w:bookmarkStart w:id="68" w:name="_Toc14981"/>
      <w:r>
        <w:rPr>
          <w:rFonts w:hint="eastAsia" w:ascii="宋体" w:hAnsi="宋体" w:eastAsia="宋体" w:cs="宋体"/>
          <w:sz w:val="30"/>
          <w:szCs w:val="30"/>
          <w:lang w:val="en-US" w:eastAsia="zh-CN"/>
        </w:rPr>
        <w:t>4.1设计原则</w:t>
      </w:r>
      <w:bookmarkEnd w:id="65"/>
      <w:bookmarkEnd w:id="66"/>
      <w:bookmarkEnd w:id="67"/>
      <w:bookmarkEnd w:id="68"/>
    </w:p>
    <w:p w14:paraId="4ABD4CE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本设计标从数智化工厂与集团一体化管理的总体规划与系统设计层面提出设计要求，设计单位在开展方案设计时，应遵循以下基本原则：</w:t>
      </w:r>
    </w:p>
    <w:p w14:paraId="3B182C8C">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整体规划、分层设计原则</w:t>
      </w:r>
    </w:p>
    <w:p w14:paraId="4FB8A3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设计应统筹集团级与厂区级数智化体系，明确总体架构、功能层级与系统边界，避免系统割裂与重复建设。</w:t>
      </w:r>
    </w:p>
    <w:p w14:paraId="3B76EF09">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业务驱动、数据为本原则</w:t>
      </w:r>
    </w:p>
    <w:p w14:paraId="6B0987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以餐厨垃圾、生物柴油等核心业务场景为导向，围绕生产运营管理实际需求开展设计，突出数据采集、治理、分析与应用的系统性规划。</w:t>
      </w:r>
    </w:p>
    <w:p w14:paraId="4C3043D3">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平台化、可扩展原则</w:t>
      </w:r>
    </w:p>
    <w:p w14:paraId="50DA48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设计应具备良好的扩展性与兼容性，支持后续业务拓展、新应用接入及多厂区复制推广，避免形成封闭、不可扩展的系统架构。</w:t>
      </w:r>
    </w:p>
    <w:p w14:paraId="04592685">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安全合规、稳健可靠原则</w:t>
      </w:r>
    </w:p>
    <w:p w14:paraId="046FFE2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设计应充分考虑网络安全、数据安全及系统运行稳定性要求，</w:t>
      </w:r>
      <w:r>
        <w:rPr>
          <w:rFonts w:hint="eastAsia" w:ascii="宋体" w:hAnsi="宋体" w:eastAsia="宋体" w:cs="宋体"/>
          <w:kern w:val="0"/>
          <w:sz w:val="24"/>
          <w:szCs w:val="24"/>
        </w:rPr>
        <w:t>符合</w:t>
      </w:r>
      <w:r>
        <w:rPr>
          <w:rFonts w:hint="eastAsia" w:ascii="宋体" w:hAnsi="宋体" w:eastAsia="宋体" w:cs="宋体"/>
          <w:kern w:val="0"/>
          <w:sz w:val="24"/>
          <w:szCs w:val="24"/>
          <w:lang w:val="en-US" w:eastAsia="zh-CN"/>
        </w:rPr>
        <w:t>国家</w:t>
      </w:r>
      <w:r>
        <w:rPr>
          <w:rFonts w:hint="eastAsia" w:ascii="宋体" w:hAnsi="宋体" w:eastAsia="宋体" w:cs="宋体"/>
          <w:kern w:val="0"/>
          <w:sz w:val="24"/>
          <w:szCs w:val="24"/>
        </w:rPr>
        <w:t>《数据安全法》《环保法》及行业监管要求，保障环保数据、运营数据安全。</w:t>
      </w:r>
    </w:p>
    <w:p w14:paraId="3972407E">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规划先行、实施分离原则</w:t>
      </w:r>
    </w:p>
    <w:p w14:paraId="632677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本设计标聚焦规划设计，不涉及具体实施方案与控制逻辑，相关内容将在后续技术实施招标阶段进一步明确。</w:t>
      </w:r>
    </w:p>
    <w:p w14:paraId="20094C9C">
      <w:pPr>
        <w:rPr>
          <w:rFonts w:hint="eastAsia"/>
          <w:lang w:val="en-US" w:eastAsia="zh-CN"/>
        </w:rPr>
      </w:pPr>
    </w:p>
    <w:p w14:paraId="46E3C5FC">
      <w:pPr>
        <w:pStyle w:val="3"/>
        <w:spacing w:line="240" w:lineRule="auto"/>
        <w:rPr>
          <w:rFonts w:hint="eastAsia" w:ascii="宋体" w:hAnsi="宋体" w:eastAsia="宋体" w:cs="宋体"/>
          <w:sz w:val="30"/>
          <w:szCs w:val="30"/>
          <w:lang w:val="en-US" w:eastAsia="zh-CN"/>
        </w:rPr>
      </w:pPr>
      <w:bookmarkStart w:id="69" w:name="_Toc32214"/>
      <w:bookmarkStart w:id="70" w:name="_Toc26087"/>
      <w:bookmarkStart w:id="71" w:name="_Toc31360"/>
      <w:bookmarkStart w:id="72" w:name="_Toc13676"/>
      <w:r>
        <w:rPr>
          <w:rFonts w:hint="eastAsia" w:ascii="宋体" w:hAnsi="宋体" w:eastAsia="宋体" w:cs="宋体"/>
          <w:sz w:val="30"/>
          <w:szCs w:val="30"/>
          <w:lang w:val="en-US" w:eastAsia="zh-CN"/>
        </w:rPr>
        <w:t>4.2技术架构要求</w:t>
      </w:r>
      <w:bookmarkEnd w:id="69"/>
      <w:bookmarkEnd w:id="70"/>
      <w:bookmarkEnd w:id="71"/>
      <w:bookmarkEnd w:id="72"/>
    </w:p>
    <w:p w14:paraId="55DBE0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设计单位应从整体视角，对北京通州数智化工厂及集团级平台的技术架构进行统一规划设计，明确系统各层级的功能定位与协同关系。</w:t>
      </w:r>
    </w:p>
    <w:p w14:paraId="0F8D8B6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总体技术架构设计应至少包括以下层次：</w:t>
      </w:r>
    </w:p>
    <w:p w14:paraId="40E7E14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（1）数据采集与接入层</w:t>
      </w:r>
    </w:p>
    <w:p w14:paraId="70CF89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规划与现有 DCS/PLC、仪表、传感器、视频系统、能源系统及第三方业务系统的数据接入方式，明确数据来源、采集频率及接口规范。</w:t>
      </w:r>
    </w:p>
    <w:p w14:paraId="36227E4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（2）数据管理与平台支撑层</w:t>
      </w:r>
    </w:p>
    <w:p w14:paraId="425B0E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统一的工业互联网平台架构，一方面对底层多元数据（控制系统、能源计量、视频安防等）进行处理，涵盖数据存储、数据模型、数据治理、数据服务等能力；另一方面提供上层应用统一管理（统一智能门户、权限管控等）、组态开发、应用运维、数据调用等能力，为上层应用提供稳定的数据基础和应用框架。</w:t>
      </w:r>
    </w:p>
    <w:p w14:paraId="77A2EC9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（3）业务应用与分析层</w:t>
      </w:r>
    </w:p>
    <w:p w14:paraId="68746B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规划生产运营管理、设备管理、物料管理、能源管理、安全环保管理、碳减排管理、智能优化及决策等应用的整体架构与功能边界。</w:t>
      </w:r>
    </w:p>
    <w:p w14:paraId="42D7058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kern w:val="0"/>
          <w:sz w:val="24"/>
          <w:szCs w:val="24"/>
          <w:lang w:val="en-US" w:eastAsia="zh-CN"/>
        </w:rPr>
      </w:pPr>
      <w:r>
        <w:rPr>
          <w:rFonts w:hint="eastAsia" w:ascii="宋体" w:hAnsi="宋体" w:eastAsia="宋体" w:cs="宋体"/>
          <w:b/>
          <w:bCs/>
          <w:kern w:val="0"/>
          <w:sz w:val="24"/>
          <w:szCs w:val="24"/>
          <w:lang w:val="en-US" w:eastAsia="zh-CN"/>
        </w:rPr>
        <w:t>（4）展示与交互层</w:t>
      </w:r>
    </w:p>
    <w:p w14:paraId="4ADE41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设计智能驾驶舱、数字孪生可视化、车间看板等多层级展示方式，满足管理决策、现场管理与示范展示需求。</w:t>
      </w:r>
    </w:p>
    <w:p w14:paraId="17578140">
      <w:pPr>
        <w:spacing w:line="360" w:lineRule="auto"/>
        <w:ind w:firstLine="480" w:firstLineChars="200"/>
        <w:rPr>
          <w:rFonts w:hint="eastAsia" w:ascii="宋体" w:hAnsi="宋体" w:eastAsia="宋体" w:cs="宋体"/>
          <w:sz w:val="30"/>
          <w:szCs w:val="30"/>
          <w:lang w:val="en-US" w:eastAsia="zh-CN"/>
        </w:rPr>
      </w:pPr>
      <w:r>
        <w:rPr>
          <w:rFonts w:hint="eastAsia" w:ascii="宋体" w:hAnsi="宋体" w:eastAsia="宋体" w:cs="宋体"/>
          <w:kern w:val="0"/>
          <w:sz w:val="24"/>
          <w:szCs w:val="24"/>
          <w:lang w:val="en-US" w:eastAsia="zh-CN"/>
        </w:rPr>
        <w:t>设计应明确各层级之间的接口关系与数据流向，不限定具体技术实现路线或产品选型。</w:t>
      </w:r>
    </w:p>
    <w:p w14:paraId="352B6134">
      <w:pPr>
        <w:keepNext w:val="0"/>
        <w:keepLines w:val="0"/>
        <w:pageBreakBefore w:val="0"/>
        <w:widowControl/>
        <w:kinsoku/>
        <w:wordWrap/>
        <w:overflowPunct/>
        <w:topLinePunct w:val="0"/>
        <w:autoSpaceDE/>
        <w:autoSpaceDN/>
        <w:bidi w:val="0"/>
        <w:adjustRightInd/>
        <w:snapToGrid/>
        <w:spacing w:before="0" w:after="0" w:line="360" w:lineRule="auto"/>
        <w:ind w:left="0" w:firstLine="0" w:firstLineChars="0"/>
        <w:jc w:val="left"/>
        <w:textAlignment w:val="auto"/>
        <w:outlineLvl w:val="1"/>
        <w:rPr>
          <w:rStyle w:val="17"/>
          <w:rFonts w:ascii="宋体" w:hAnsi="宋体" w:eastAsia="宋体" w:cs="宋体"/>
          <w:sz w:val="30"/>
          <w:szCs w:val="30"/>
        </w:rPr>
      </w:pPr>
      <w:bookmarkStart w:id="73" w:name="_Toc26213"/>
      <w:bookmarkStart w:id="74" w:name="_Toc3170"/>
      <w:bookmarkStart w:id="75" w:name="_Toc27148"/>
      <w:bookmarkStart w:id="76" w:name="_Toc23550"/>
      <w:r>
        <w:rPr>
          <w:rStyle w:val="17"/>
          <w:rFonts w:hint="eastAsia" w:ascii="宋体" w:hAnsi="宋体" w:eastAsia="宋体" w:cs="宋体"/>
          <w:sz w:val="30"/>
          <w:szCs w:val="30"/>
          <w:lang w:val="en-US" w:eastAsia="zh-CN"/>
        </w:rPr>
        <w:t>4</w:t>
      </w:r>
      <w:r>
        <w:rPr>
          <w:rStyle w:val="17"/>
          <w:rFonts w:ascii="宋体" w:hAnsi="宋体" w:eastAsia="宋体" w:cs="宋体"/>
          <w:sz w:val="30"/>
          <w:szCs w:val="30"/>
        </w:rPr>
        <w:t>.3 数字孪生与</w:t>
      </w:r>
      <w:r>
        <w:rPr>
          <w:rStyle w:val="17"/>
          <w:rFonts w:hint="eastAsia" w:ascii="宋体" w:hAnsi="宋体" w:eastAsia="宋体" w:cs="宋体"/>
          <w:sz w:val="30"/>
          <w:szCs w:val="30"/>
          <w:lang w:val="en-US" w:eastAsia="zh-CN"/>
        </w:rPr>
        <w:t>AI应用</w:t>
      </w:r>
      <w:r>
        <w:rPr>
          <w:rStyle w:val="17"/>
          <w:rFonts w:ascii="宋体" w:hAnsi="宋体" w:eastAsia="宋体" w:cs="宋体"/>
          <w:sz w:val="30"/>
          <w:szCs w:val="30"/>
        </w:rPr>
        <w:t>要求</w:t>
      </w:r>
      <w:bookmarkEnd w:id="73"/>
      <w:bookmarkEnd w:id="74"/>
      <w:bookmarkEnd w:id="75"/>
      <w:bookmarkEnd w:id="76"/>
    </w:p>
    <w:p w14:paraId="051087B8">
      <w:pPr>
        <w:keepNext w:val="0"/>
        <w:keepLines w:val="0"/>
        <w:widowControl w:val="0"/>
        <w:suppressLineNumbers w:val="0"/>
        <w:spacing w:line="360" w:lineRule="auto"/>
        <w:ind w:firstLine="480" w:firstLineChars="20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数字孪生与 AI 应用作为本项目数智化建设的重要专项内容，应从规划设计层面进行系统性考虑。</w:t>
      </w:r>
    </w:p>
    <w:p w14:paraId="47F8104B">
      <w:pPr>
        <w:pStyle w:val="4"/>
        <w:rPr>
          <w:rFonts w:hint="eastAsia"/>
          <w:sz w:val="24"/>
          <w:szCs w:val="24"/>
          <w:lang w:val="en-US" w:eastAsia="zh-CN"/>
        </w:rPr>
      </w:pPr>
      <w:r>
        <w:rPr>
          <w:rFonts w:hint="eastAsia"/>
          <w:sz w:val="24"/>
          <w:szCs w:val="24"/>
          <w:lang w:val="en-US" w:eastAsia="zh-CN"/>
        </w:rPr>
        <w:t>4</w:t>
      </w:r>
      <w:r>
        <w:rPr>
          <w:rFonts w:hint="eastAsia"/>
          <w:sz w:val="24"/>
          <w:szCs w:val="24"/>
        </w:rPr>
        <w:t>.3.1 数字孪生</w:t>
      </w:r>
      <w:r>
        <w:rPr>
          <w:rFonts w:hint="eastAsia"/>
          <w:sz w:val="24"/>
          <w:szCs w:val="24"/>
          <w:lang w:val="en-US" w:eastAsia="zh-CN"/>
        </w:rPr>
        <w:t>总体设计要求</w:t>
      </w:r>
    </w:p>
    <w:p w14:paraId="513AFECB">
      <w:pPr>
        <w:keepNext w:val="0"/>
        <w:keepLines w:val="0"/>
        <w:widowControl w:val="0"/>
        <w:suppressLineNumbers w:val="0"/>
        <w:spacing w:line="360" w:lineRule="auto"/>
        <w:ind w:firstLine="480" w:firstLineChars="20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设计应规划覆盖园区级、车间级及核心工艺流程（餐厨垃圾处理、生物柴油酶法工艺、能源系统等）的数字孪生总体架构，明确三维模型、工艺流程与实时或准实时数据之间的映射关系。</w:t>
      </w:r>
    </w:p>
    <w:p w14:paraId="1C890010">
      <w:pPr>
        <w:keepNext w:val="0"/>
        <w:keepLines w:val="0"/>
        <w:widowControl w:val="0"/>
        <w:suppressLineNumbers w:val="0"/>
        <w:spacing w:line="360" w:lineRule="auto"/>
        <w:ind w:firstLine="480" w:firstLineChars="200"/>
        <w:jc w:val="left"/>
        <w:rPr>
          <w:rFonts w:hint="default"/>
          <w:sz w:val="24"/>
          <w:szCs w:val="24"/>
          <w:lang w:val="en-US" w:eastAsia="zh-CN"/>
        </w:rPr>
      </w:pPr>
      <w:r>
        <w:rPr>
          <w:rFonts w:hint="eastAsia" w:ascii="宋体" w:hAnsi="宋体" w:eastAsia="宋体" w:cs="宋体"/>
          <w:kern w:val="0"/>
          <w:sz w:val="24"/>
          <w:szCs w:val="24"/>
          <w:lang w:val="en-US" w:eastAsia="zh-CN" w:bidi="ar"/>
        </w:rPr>
        <w:t>数字孪生主要用于运行状态展示、过程可视化与管理分析，不作为现场控制系统的替代。</w:t>
      </w:r>
    </w:p>
    <w:p w14:paraId="05153B44">
      <w:pPr>
        <w:pStyle w:val="4"/>
        <w:rPr>
          <w:rFonts w:hint="eastAsia"/>
          <w:sz w:val="24"/>
          <w:szCs w:val="24"/>
          <w:lang w:val="en-US" w:eastAsia="zh-CN"/>
        </w:rPr>
      </w:pPr>
      <w:r>
        <w:rPr>
          <w:rFonts w:hint="eastAsia"/>
          <w:sz w:val="24"/>
          <w:szCs w:val="24"/>
          <w:lang w:val="en-US" w:eastAsia="zh-CN"/>
        </w:rPr>
        <w:t>4</w:t>
      </w:r>
      <w:r>
        <w:rPr>
          <w:sz w:val="24"/>
          <w:szCs w:val="24"/>
        </w:rPr>
        <w:t xml:space="preserve">.3.2 </w:t>
      </w:r>
      <w:r>
        <w:rPr>
          <w:rFonts w:hint="eastAsia"/>
          <w:sz w:val="24"/>
          <w:szCs w:val="24"/>
          <w:lang w:val="en-US" w:eastAsia="zh-CN"/>
        </w:rPr>
        <w:t>智能决策与AI应用体系</w:t>
      </w:r>
    </w:p>
    <w:p w14:paraId="2EEE107C">
      <w:pPr>
        <w:keepNext w:val="0"/>
        <w:keepLines w:val="0"/>
        <w:widowControl w:val="0"/>
        <w:suppressLineNumbers w:val="0"/>
        <w:spacing w:line="360" w:lineRule="auto"/>
        <w:ind w:firstLine="480" w:firstLineChars="20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设计应从实际应用场景出发，规划 AI 技术在视频分析、运行异常识别、预测性维护、工艺分析及优化、能耗趋势分析与预测、辅助决策等方面的应用方向，明确数据来源、应用边界及与现有系统的协同关系。</w:t>
      </w:r>
    </w:p>
    <w:p w14:paraId="3457EF6E">
      <w:pPr>
        <w:keepNext w:val="0"/>
        <w:keepLines w:val="0"/>
        <w:widowControl w:val="0"/>
        <w:suppressLineNumbers w:val="0"/>
        <w:spacing w:line="360" w:lineRule="auto"/>
        <w:ind w:firstLine="480" w:firstLineChars="20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具体算法实现、模型训练与精度指标不作为本设计标的约束内容。</w:t>
      </w:r>
    </w:p>
    <w:p w14:paraId="48055BB1">
      <w:pPr>
        <w:pStyle w:val="4"/>
        <w:rPr>
          <w:rFonts w:hint="eastAsia"/>
          <w:sz w:val="24"/>
          <w:szCs w:val="24"/>
          <w:lang w:val="en-US" w:eastAsia="zh-CN"/>
        </w:rPr>
      </w:pPr>
      <w:r>
        <w:rPr>
          <w:rFonts w:hint="eastAsia"/>
          <w:sz w:val="24"/>
          <w:szCs w:val="24"/>
          <w:lang w:val="en-US" w:eastAsia="zh-CN"/>
        </w:rPr>
        <w:t>4</w:t>
      </w:r>
      <w:r>
        <w:rPr>
          <w:sz w:val="24"/>
          <w:szCs w:val="24"/>
        </w:rPr>
        <w:t>.3.</w:t>
      </w:r>
      <w:r>
        <w:rPr>
          <w:rFonts w:hint="eastAsia"/>
          <w:sz w:val="24"/>
          <w:szCs w:val="24"/>
          <w:lang w:val="en-US" w:eastAsia="zh-CN"/>
        </w:rPr>
        <w:t>3</w:t>
      </w:r>
      <w:r>
        <w:rPr>
          <w:sz w:val="24"/>
          <w:szCs w:val="24"/>
        </w:rPr>
        <w:t xml:space="preserve"> </w:t>
      </w:r>
      <w:r>
        <w:rPr>
          <w:rFonts w:hint="eastAsia"/>
          <w:sz w:val="24"/>
          <w:szCs w:val="24"/>
        </w:rPr>
        <w:t>企业级大模型与AI知识平台</w:t>
      </w:r>
    </w:p>
    <w:p w14:paraId="36A51180">
      <w:pPr>
        <w:keepNext w:val="0"/>
        <w:keepLines w:val="0"/>
        <w:widowControl w:val="0"/>
        <w:suppressLineNumbers w:val="0"/>
        <w:spacing w:line="360" w:lineRule="auto"/>
        <w:ind w:firstLine="480" w:firstLineChars="200"/>
        <w:jc w:val="left"/>
        <w:rPr>
          <w:rFonts w:hint="eastAsia" w:ascii="宋体" w:hAnsi="宋体" w:eastAsia="宋体" w:cs="宋体"/>
          <w:kern w:val="0"/>
          <w:sz w:val="24"/>
          <w:szCs w:val="24"/>
          <w:lang w:val="en-US" w:eastAsia="zh-CN" w:bidi="ar"/>
        </w:rPr>
      </w:pPr>
      <w:r>
        <w:rPr>
          <w:rFonts w:hint="default" w:ascii="宋体" w:hAnsi="宋体" w:eastAsia="宋体" w:cs="宋体"/>
          <w:kern w:val="0"/>
          <w:sz w:val="24"/>
          <w:lang w:bidi="ar"/>
        </w:rPr>
        <w:t>设计应规划企业级大模型平台，支持本地化部署、多模型接入与知识增强检索，具备私域知识库管理、智能问答、知识溯源等能力，用于提升运营知识传承、智能决策支持与员工培训效率</w:t>
      </w:r>
      <w:r>
        <w:rPr>
          <w:rFonts w:hint="eastAsia" w:ascii="宋体" w:hAnsi="宋体" w:eastAsia="宋体" w:cs="宋体"/>
          <w:kern w:val="0"/>
          <w:sz w:val="24"/>
          <w:lang w:eastAsia="zh-CN" w:bidi="ar"/>
        </w:rPr>
        <w:t>。</w:t>
      </w:r>
    </w:p>
    <w:p w14:paraId="18FE9741">
      <w:pPr>
        <w:spacing w:line="360" w:lineRule="auto"/>
        <w:jc w:val="left"/>
        <w:rPr>
          <w:rFonts w:hint="default" w:ascii="宋体" w:hAnsi="宋体" w:eastAsia="宋体" w:cs="宋体"/>
          <w:kern w:val="0"/>
          <w:sz w:val="24"/>
          <w:lang w:val="en-US" w:eastAsia="zh-CN" w:bidi="ar"/>
        </w:rPr>
      </w:pPr>
    </w:p>
    <w:p w14:paraId="0913728F">
      <w:pPr>
        <w:keepNext w:val="0"/>
        <w:keepLines w:val="0"/>
        <w:pageBreakBefore w:val="0"/>
        <w:widowControl/>
        <w:kinsoku/>
        <w:wordWrap/>
        <w:overflowPunct/>
        <w:topLinePunct w:val="0"/>
        <w:autoSpaceDE/>
        <w:autoSpaceDN/>
        <w:bidi w:val="0"/>
        <w:adjustRightInd/>
        <w:snapToGrid/>
        <w:spacing w:before="0" w:after="0" w:line="360" w:lineRule="auto"/>
        <w:ind w:left="0" w:firstLine="0" w:firstLineChars="0"/>
        <w:jc w:val="left"/>
        <w:textAlignment w:val="auto"/>
        <w:outlineLvl w:val="1"/>
        <w:rPr>
          <w:rStyle w:val="17"/>
          <w:rFonts w:hint="default" w:ascii="宋体" w:hAnsi="宋体" w:eastAsia="宋体" w:cs="宋体"/>
          <w:sz w:val="30"/>
          <w:szCs w:val="30"/>
          <w:lang w:val="en-US" w:eastAsia="zh-CN"/>
        </w:rPr>
      </w:pPr>
      <w:bookmarkStart w:id="77" w:name="_Toc32335"/>
      <w:bookmarkStart w:id="78" w:name="_Toc19326"/>
      <w:bookmarkStart w:id="79" w:name="_Toc28927"/>
      <w:bookmarkStart w:id="80" w:name="_Toc11121"/>
      <w:r>
        <w:rPr>
          <w:rStyle w:val="17"/>
          <w:rFonts w:hint="eastAsia" w:ascii="宋体" w:hAnsi="宋体" w:eastAsia="宋体" w:cs="宋体"/>
          <w:sz w:val="30"/>
          <w:szCs w:val="30"/>
          <w:lang w:val="en-US" w:eastAsia="zh-CN"/>
        </w:rPr>
        <w:t>4</w:t>
      </w:r>
      <w:r>
        <w:rPr>
          <w:rStyle w:val="17"/>
          <w:rFonts w:ascii="宋体" w:hAnsi="宋体" w:eastAsia="宋体" w:cs="宋体"/>
          <w:sz w:val="30"/>
          <w:szCs w:val="30"/>
        </w:rPr>
        <w:t>.</w:t>
      </w:r>
      <w:r>
        <w:rPr>
          <w:rStyle w:val="17"/>
          <w:rFonts w:hint="eastAsia" w:ascii="宋体" w:hAnsi="宋体" w:eastAsia="宋体" w:cs="宋体"/>
          <w:sz w:val="30"/>
          <w:szCs w:val="30"/>
          <w:lang w:val="en-US" w:eastAsia="zh-CN"/>
        </w:rPr>
        <w:t>4</w:t>
      </w:r>
      <w:r>
        <w:rPr>
          <w:rStyle w:val="17"/>
          <w:rFonts w:ascii="宋体" w:hAnsi="宋体" w:eastAsia="宋体" w:cs="宋体"/>
          <w:sz w:val="30"/>
          <w:szCs w:val="30"/>
        </w:rPr>
        <w:t xml:space="preserve"> </w:t>
      </w:r>
      <w:r>
        <w:rPr>
          <w:rStyle w:val="17"/>
          <w:rFonts w:hint="eastAsia" w:ascii="宋体" w:hAnsi="宋体" w:eastAsia="宋体" w:cs="宋体"/>
          <w:sz w:val="30"/>
          <w:szCs w:val="30"/>
          <w:lang w:val="en-US" w:eastAsia="zh-CN"/>
        </w:rPr>
        <w:t>能源管理与发电自平衡系统设计要求</w:t>
      </w:r>
      <w:bookmarkEnd w:id="77"/>
      <w:bookmarkEnd w:id="78"/>
      <w:bookmarkEnd w:id="79"/>
      <w:bookmarkEnd w:id="80"/>
    </w:p>
    <w:p w14:paraId="4140F928">
      <w:pPr>
        <w:spacing w:line="360" w:lineRule="auto"/>
        <w:ind w:firstLine="720" w:firstLineChars="300"/>
        <w:jc w:val="left"/>
        <w:rPr>
          <w:rFonts w:hint="eastAsia" w:ascii="宋体" w:hAnsi="宋体" w:eastAsia="宋体" w:cs="宋体"/>
          <w:kern w:val="0"/>
          <w:sz w:val="24"/>
          <w:lang w:bidi="ar"/>
        </w:rPr>
      </w:pPr>
      <w:r>
        <w:rPr>
          <w:rFonts w:hint="eastAsia" w:ascii="宋体" w:hAnsi="宋体" w:eastAsia="宋体" w:cs="宋体"/>
          <w:kern w:val="0"/>
          <w:sz w:val="24"/>
          <w:lang w:bidi="ar"/>
        </w:rPr>
        <w:t>本项目在数智化工厂建设中，对能源管理与发电自平衡系统提出统一规划设计要求，以支撑厂区多能源协同运行和生产用能的安全、稳定与高效。</w:t>
      </w:r>
    </w:p>
    <w:p w14:paraId="1CAFBD8E">
      <w:pPr>
        <w:spacing w:line="360" w:lineRule="auto"/>
        <w:ind w:firstLine="720" w:firstLineChars="300"/>
        <w:jc w:val="left"/>
        <w:rPr>
          <w:rFonts w:hint="eastAsia" w:ascii="宋体" w:hAnsi="宋体" w:eastAsia="宋体" w:cs="宋体"/>
          <w:kern w:val="0"/>
          <w:sz w:val="24"/>
          <w:lang w:bidi="ar"/>
        </w:rPr>
      </w:pPr>
      <w:r>
        <w:rPr>
          <w:rFonts w:hint="eastAsia" w:ascii="宋体" w:hAnsi="宋体" w:eastAsia="宋体" w:cs="宋体"/>
          <w:kern w:val="0"/>
          <w:sz w:val="24"/>
          <w:lang w:bidi="ar"/>
        </w:rPr>
        <w:t>目前，公司电气设计部已完成厂区用电自平衡的总体工程设计规划，</w:t>
      </w:r>
      <w:r>
        <w:rPr>
          <w:rFonts w:hint="eastAsia" w:ascii="宋体" w:hAnsi="宋体" w:eastAsia="宋体" w:cs="宋体"/>
          <w:kern w:val="0"/>
          <w:sz w:val="24"/>
          <w:lang w:val="en-US" w:eastAsia="zh-CN" w:bidi="ar"/>
        </w:rPr>
        <w:t>即</w:t>
      </w:r>
      <w:r>
        <w:rPr>
          <w:rFonts w:ascii="宋体" w:hAnsi="宋体" w:eastAsia="宋体" w:cs="宋体"/>
          <w:sz w:val="24"/>
          <w:szCs w:val="24"/>
        </w:rPr>
        <w:t>采用以</w:t>
      </w:r>
      <w:r>
        <w:rPr>
          <w:rStyle w:val="15"/>
          <w:rFonts w:ascii="宋体" w:hAnsi="宋体" w:eastAsia="宋体" w:cs="宋体"/>
          <w:sz w:val="24"/>
          <w:szCs w:val="24"/>
        </w:rPr>
        <w:t>厂内沼气发电为主、市电为补充</w:t>
      </w:r>
      <w:r>
        <w:rPr>
          <w:rFonts w:ascii="宋体" w:hAnsi="宋体" w:eastAsia="宋体" w:cs="宋体"/>
          <w:sz w:val="24"/>
          <w:szCs w:val="24"/>
        </w:rPr>
        <w:t>的发电自平衡运行模式，发电与用电的动态匹配由现场电气及自动化控制系统完成，保障厂区生产用能的连续性与稳定性</w:t>
      </w:r>
      <w:r>
        <w:rPr>
          <w:rFonts w:hint="eastAsia" w:ascii="宋体" w:hAnsi="宋体" w:eastAsia="宋体" w:cs="宋体"/>
          <w:kern w:val="0"/>
          <w:sz w:val="24"/>
          <w:lang w:bidi="ar"/>
        </w:rPr>
        <w:t>。本次设计标在此基础上，从数智化系统规划设计角度，</w:t>
      </w:r>
      <w:r>
        <w:rPr>
          <w:rFonts w:hint="eastAsia" w:ascii="宋体" w:hAnsi="宋体" w:eastAsia="宋体" w:cs="宋体"/>
          <w:b/>
          <w:bCs/>
          <w:kern w:val="0"/>
          <w:sz w:val="24"/>
          <w:lang w:bidi="ar"/>
        </w:rPr>
        <w:t>对能源系统的监测、分析、预测与管理能力进行统一设计</w:t>
      </w:r>
      <w:r>
        <w:rPr>
          <w:rFonts w:hint="eastAsia" w:ascii="宋体" w:hAnsi="宋体" w:eastAsia="宋体" w:cs="宋体"/>
          <w:b/>
          <w:bCs/>
          <w:kern w:val="0"/>
          <w:sz w:val="24"/>
          <w:lang w:val="en-US" w:eastAsia="zh-CN" w:bidi="ar"/>
        </w:rPr>
        <w:t>要求。</w:t>
      </w:r>
    </w:p>
    <w:p w14:paraId="7D47E6AE">
      <w:pPr>
        <w:numPr>
          <w:ilvl w:val="0"/>
          <w:numId w:val="11"/>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能源系统数据接入与监测设计</w:t>
      </w:r>
    </w:p>
    <w:p w14:paraId="726DD5D6">
      <w:pPr>
        <w:spacing w:line="360" w:lineRule="auto"/>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设计应明确水、电、蒸汽、沼气等能源系统及发电系统运行数据的接入范围、数据结构与展示方式，实现能源运行状态的统一监测与可视化。</w:t>
      </w:r>
    </w:p>
    <w:p w14:paraId="1400AD82">
      <w:pPr>
        <w:numPr>
          <w:ilvl w:val="0"/>
          <w:numId w:val="11"/>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能源分析与运行评估设计</w:t>
      </w:r>
    </w:p>
    <w:p w14:paraId="2F30306C">
      <w:pPr>
        <w:spacing w:line="360" w:lineRule="auto"/>
        <w:ind w:firstLine="480" w:firstLineChars="200"/>
        <w:jc w:val="left"/>
        <w:rPr>
          <w:rFonts w:hint="eastAsia" w:ascii="宋体" w:hAnsi="宋体" w:eastAsia="宋体" w:cs="宋体"/>
          <w:kern w:val="0"/>
          <w:sz w:val="24"/>
          <w:lang w:eastAsia="zh-CN" w:bidi="ar"/>
        </w:rPr>
      </w:pPr>
      <w:r>
        <w:rPr>
          <w:rFonts w:hint="eastAsia" w:ascii="宋体" w:hAnsi="宋体" w:eastAsia="宋体" w:cs="宋体"/>
          <w:kern w:val="0"/>
          <w:sz w:val="24"/>
          <w:lang w:bidi="ar"/>
        </w:rPr>
        <w:t>规划基于历史与实时数据的能源</w:t>
      </w:r>
      <w:r>
        <w:rPr>
          <w:rFonts w:hint="eastAsia" w:ascii="宋体" w:hAnsi="宋体" w:eastAsia="宋体" w:cs="宋体"/>
          <w:kern w:val="0"/>
          <w:sz w:val="24"/>
          <w:lang w:val="en-US" w:eastAsia="zh-CN" w:bidi="ar"/>
        </w:rPr>
        <w:t>消耗、能源平衡及运行趋势分析与预测能力</w:t>
      </w:r>
      <w:r>
        <w:rPr>
          <w:rFonts w:hint="eastAsia" w:ascii="宋体" w:hAnsi="宋体" w:eastAsia="宋体" w:cs="宋体"/>
          <w:kern w:val="0"/>
          <w:sz w:val="24"/>
          <w:lang w:bidi="ar"/>
        </w:rPr>
        <w:t>，为能源优化运行和管理决策提供支撑</w:t>
      </w:r>
      <w:r>
        <w:rPr>
          <w:rFonts w:hint="eastAsia" w:ascii="宋体" w:hAnsi="宋体" w:eastAsia="宋体" w:cs="宋体"/>
          <w:kern w:val="0"/>
          <w:sz w:val="24"/>
          <w:lang w:eastAsia="zh-CN" w:bidi="ar"/>
        </w:rPr>
        <w:t>。</w:t>
      </w:r>
    </w:p>
    <w:p w14:paraId="757DA648">
      <w:pPr>
        <w:numPr>
          <w:ilvl w:val="0"/>
          <w:numId w:val="11"/>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系统边界说明</w:t>
      </w:r>
    </w:p>
    <w:p w14:paraId="1356DE69">
      <w:pPr>
        <w:spacing w:line="360" w:lineRule="auto"/>
        <w:ind w:firstLine="480" w:firstLineChars="200"/>
        <w:jc w:val="left"/>
        <w:rPr>
          <w:rFonts w:hint="eastAsia" w:ascii="宋体" w:hAnsi="宋体" w:eastAsia="宋体" w:cs="宋体"/>
          <w:b w:val="0"/>
          <w:bCs w:val="0"/>
          <w:sz w:val="24"/>
          <w:lang w:val="en-US" w:eastAsia="zh-CN"/>
        </w:rPr>
      </w:pPr>
      <w:r>
        <w:rPr>
          <w:rFonts w:hint="eastAsia" w:ascii="宋体" w:hAnsi="宋体" w:eastAsia="宋体" w:cs="宋体"/>
          <w:kern w:val="0"/>
          <w:sz w:val="24"/>
          <w:lang w:bidi="ar"/>
        </w:rPr>
        <w:t>数智化系统不直接参与发电控制策略或现场控制逻辑实现，其定位为运行监测、分析与管理决策支持系统。</w:t>
      </w:r>
    </w:p>
    <w:p w14:paraId="3F11A298">
      <w:pPr>
        <w:pStyle w:val="3"/>
        <w:bidi w:val="0"/>
        <w:rPr>
          <w:rFonts w:hint="eastAsia" w:ascii="宋体" w:hAnsi="宋体" w:eastAsia="宋体" w:cs="宋体"/>
          <w:sz w:val="24"/>
          <w:szCs w:val="24"/>
        </w:rPr>
      </w:pPr>
      <w:bookmarkStart w:id="81" w:name="_Toc22061"/>
      <w:bookmarkStart w:id="82" w:name="_Toc23311"/>
      <w:bookmarkStart w:id="83" w:name="_Toc12589"/>
      <w:bookmarkStart w:id="84" w:name="_Toc3496"/>
      <w:r>
        <w:rPr>
          <w:rFonts w:hint="eastAsia" w:ascii="宋体" w:hAnsi="宋体" w:eastAsia="宋体" w:cs="宋体"/>
          <w:sz w:val="24"/>
          <w:szCs w:val="24"/>
          <w:lang w:val="en-US" w:eastAsia="zh-CN"/>
        </w:rPr>
        <w:t>4</w:t>
      </w:r>
      <w:r>
        <w:rPr>
          <w:rFonts w:hint="eastAsia" w:ascii="宋体" w:hAnsi="宋体" w:eastAsia="宋体" w:cs="宋体"/>
          <w:sz w:val="24"/>
          <w:szCs w:val="24"/>
        </w:rPr>
        <w:t>.</w:t>
      </w:r>
      <w:r>
        <w:rPr>
          <w:rFonts w:hint="eastAsia" w:ascii="宋体" w:hAnsi="宋体" w:eastAsia="宋体" w:cs="宋体"/>
          <w:sz w:val="24"/>
          <w:szCs w:val="24"/>
          <w:lang w:val="en-US" w:eastAsia="zh-CN"/>
        </w:rPr>
        <w:t>5</w:t>
      </w:r>
      <w:r>
        <w:rPr>
          <w:rFonts w:hint="eastAsia" w:ascii="宋体" w:hAnsi="宋体" w:eastAsia="宋体" w:cs="宋体"/>
          <w:sz w:val="24"/>
          <w:szCs w:val="24"/>
        </w:rPr>
        <w:t xml:space="preserve"> 碳减排管理技术要求</w:t>
      </w:r>
      <w:bookmarkEnd w:id="81"/>
      <w:bookmarkEnd w:id="82"/>
      <w:bookmarkEnd w:id="83"/>
      <w:bookmarkEnd w:id="84"/>
    </w:p>
    <w:p w14:paraId="4B223E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s="宋体"/>
          <w:sz w:val="24"/>
          <w:szCs w:val="24"/>
        </w:rPr>
      </w:pPr>
      <w:r>
        <w:rPr>
          <w:rFonts w:ascii="宋体" w:hAnsi="宋体" w:eastAsia="宋体" w:cs="宋体"/>
          <w:sz w:val="24"/>
          <w:szCs w:val="24"/>
        </w:rPr>
        <w:t>结合餐厨垃圾、厨余垃圾、废弃食用油脂等有机废弃物资源化处理业务特性，规划基于行业标准与方法学的碳减排核算体系，对项目在有机废弃物减量化、资源化、能源化利用过程中形成的</w:t>
      </w:r>
      <w:r>
        <w:rPr>
          <w:rStyle w:val="15"/>
          <w:rFonts w:ascii="宋体" w:hAnsi="宋体" w:eastAsia="宋体" w:cs="宋体"/>
          <w:sz w:val="24"/>
          <w:szCs w:val="24"/>
        </w:rPr>
        <w:t>碳减排量与减排贡献</w:t>
      </w:r>
      <w:r>
        <w:rPr>
          <w:rFonts w:ascii="宋体" w:hAnsi="宋体" w:eastAsia="宋体" w:cs="宋体"/>
          <w:sz w:val="24"/>
          <w:szCs w:val="24"/>
        </w:rPr>
        <w:t>进行系统性测算、分析与展示。</w:t>
      </w:r>
    </w:p>
    <w:p w14:paraId="726F72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s="宋体"/>
          <w:sz w:val="24"/>
          <w:szCs w:val="24"/>
        </w:rPr>
      </w:pPr>
      <w:r>
        <w:rPr>
          <w:rFonts w:ascii="宋体" w:hAnsi="宋体" w:eastAsia="宋体" w:cs="宋体"/>
          <w:sz w:val="24"/>
          <w:szCs w:val="24"/>
        </w:rPr>
        <w:t>通过构建减碳标准数据库与多维分析模型，形成项目层面的碳减排贡献评估能力，为双碳管理、政策申报、社会效益评估及示范展示提供数据支撑。</w:t>
      </w:r>
    </w:p>
    <w:p w14:paraId="50C89894">
      <w:pPr>
        <w:spacing w:line="360" w:lineRule="auto"/>
        <w:ind w:firstLine="720" w:firstLineChars="300"/>
        <w:jc w:val="left"/>
        <w:rPr>
          <w:rFonts w:hint="eastAsia" w:ascii="宋体" w:hAnsi="宋体" w:eastAsia="宋体" w:cs="宋体"/>
          <w:kern w:val="0"/>
          <w:sz w:val="24"/>
          <w:lang w:bidi="ar"/>
        </w:rPr>
      </w:pPr>
      <w:r>
        <w:rPr>
          <w:rFonts w:hint="eastAsia" w:ascii="宋体" w:hAnsi="宋体" w:eastAsia="宋体" w:cs="宋体"/>
          <w:kern w:val="0"/>
          <w:sz w:val="24"/>
          <w:lang w:bidi="ar"/>
        </w:rPr>
        <w:t>本设计标对碳减排管理提出专项设计要求。</w:t>
      </w:r>
    </w:p>
    <w:p w14:paraId="6267B44C">
      <w:pPr>
        <w:numPr>
          <w:ilvl w:val="0"/>
          <w:numId w:val="12"/>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碳减排核算体系设计</w:t>
      </w:r>
    </w:p>
    <w:p w14:paraId="29B67353">
      <w:pPr>
        <w:spacing w:line="360" w:lineRule="auto"/>
        <w:ind w:firstLine="720" w:firstLineChars="300"/>
        <w:jc w:val="left"/>
        <w:rPr>
          <w:rFonts w:hint="eastAsia" w:ascii="宋体" w:hAnsi="宋体" w:eastAsia="宋体" w:cs="宋体"/>
          <w:kern w:val="0"/>
          <w:sz w:val="24"/>
          <w:lang w:bidi="ar"/>
        </w:rPr>
      </w:pPr>
      <w:r>
        <w:rPr>
          <w:rFonts w:hint="eastAsia" w:ascii="宋体" w:hAnsi="宋体" w:eastAsia="宋体" w:cs="宋体"/>
          <w:kern w:val="0"/>
          <w:sz w:val="24"/>
          <w:lang w:bidi="ar"/>
        </w:rPr>
        <w:t>设计应基于国家及行业相关标准和方法学，规划适用于本项目的碳减排核算体系，明确碳减排数据来源、计算逻辑与指标体系。</w:t>
      </w:r>
    </w:p>
    <w:p w14:paraId="6C0447EA">
      <w:pPr>
        <w:numPr>
          <w:ilvl w:val="0"/>
          <w:numId w:val="12"/>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碳减排分析与展示设计</w:t>
      </w:r>
    </w:p>
    <w:p w14:paraId="429F95A9">
      <w:pPr>
        <w:spacing w:line="360" w:lineRule="auto"/>
        <w:ind w:firstLine="720" w:firstLineChars="300"/>
        <w:jc w:val="left"/>
        <w:rPr>
          <w:rFonts w:hint="eastAsia" w:ascii="宋体" w:hAnsi="宋体" w:eastAsia="宋体" w:cs="宋体"/>
          <w:kern w:val="0"/>
          <w:sz w:val="24"/>
          <w:lang w:bidi="ar"/>
        </w:rPr>
      </w:pPr>
      <w:r>
        <w:rPr>
          <w:rFonts w:hint="eastAsia" w:ascii="宋体" w:hAnsi="宋体" w:eastAsia="宋体" w:cs="宋体"/>
          <w:kern w:val="0"/>
          <w:sz w:val="24"/>
          <w:lang w:bidi="ar"/>
        </w:rPr>
        <w:t>规划对项目在有机废弃物减量化、资源化、能源化利用过程中形成的碳减排量、减排贡献及趋势变化的分析与可视化展示方式。</w:t>
      </w:r>
    </w:p>
    <w:p w14:paraId="7FBD5761">
      <w:pPr>
        <w:numPr>
          <w:ilvl w:val="0"/>
          <w:numId w:val="12"/>
        </w:numPr>
        <w:spacing w:line="360" w:lineRule="auto"/>
        <w:ind w:left="845" w:leftChars="0" w:hanging="425" w:firstLineChars="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设计边界说明</w:t>
      </w:r>
    </w:p>
    <w:p w14:paraId="01A9533F">
      <w:pPr>
        <w:spacing w:line="360" w:lineRule="auto"/>
        <w:ind w:firstLine="720" w:firstLineChars="300"/>
        <w:jc w:val="left"/>
        <w:rPr>
          <w:rFonts w:hint="eastAsia" w:ascii="宋体" w:hAnsi="宋体" w:eastAsia="宋体" w:cs="宋体"/>
          <w:sz w:val="24"/>
          <w:szCs w:val="24"/>
        </w:rPr>
      </w:pPr>
      <w:r>
        <w:rPr>
          <w:rFonts w:hint="eastAsia" w:ascii="宋体" w:hAnsi="宋体" w:eastAsia="宋体" w:cs="宋体"/>
          <w:kern w:val="0"/>
          <w:sz w:val="24"/>
          <w:lang w:bidi="ar"/>
        </w:rPr>
        <w:t>本设计标不涉及碳交易、碳资产运营等具体业务实施方案，仅对碳减排核算与管理的系统设计进行规划。</w:t>
      </w:r>
    </w:p>
    <w:p w14:paraId="060443A5">
      <w:pPr>
        <w:pStyle w:val="2"/>
        <w:keepNext/>
        <w:keepLines/>
        <w:widowControl w:val="0"/>
        <w:numPr>
          <w:ilvl w:val="0"/>
          <w:numId w:val="13"/>
        </w:numPr>
        <w:spacing w:line="240" w:lineRule="auto"/>
        <w:rPr>
          <w:rFonts w:hint="default"/>
          <w:sz w:val="32"/>
          <w:szCs w:val="32"/>
          <w:lang w:val="en-US" w:eastAsia="zh-CN"/>
        </w:rPr>
      </w:pPr>
      <w:bookmarkStart w:id="85" w:name="_Toc26431"/>
      <w:bookmarkStart w:id="86" w:name="_Toc6294"/>
      <w:bookmarkStart w:id="87" w:name="_Toc15156"/>
      <w:bookmarkStart w:id="88" w:name="_Toc9990"/>
      <w:r>
        <w:rPr>
          <w:rFonts w:hint="eastAsia" w:ascii="宋体" w:hAnsi="宋体" w:eastAsia="宋体" w:cs="宋体"/>
          <w:b/>
          <w:bCs/>
          <w:sz w:val="32"/>
          <w:szCs w:val="32"/>
          <w:lang w:val="en-US" w:eastAsia="zh-CN"/>
        </w:rPr>
        <w:t>关键应用体系设计要点</w:t>
      </w:r>
      <w:bookmarkEnd w:id="85"/>
      <w:bookmarkEnd w:id="86"/>
      <w:bookmarkEnd w:id="87"/>
      <w:bookmarkEnd w:id="88"/>
    </w:p>
    <w:p w14:paraId="6DF8A194">
      <w:pPr>
        <w:pStyle w:val="3"/>
        <w:rPr>
          <w:rFonts w:hint="eastAsia" w:ascii="宋体" w:hAnsi="宋体" w:eastAsia="宋体" w:cs="宋体"/>
          <w:sz w:val="30"/>
          <w:szCs w:val="30"/>
          <w:lang w:val="en-US" w:eastAsia="zh-CN"/>
        </w:rPr>
      </w:pPr>
      <w:bookmarkStart w:id="89" w:name="_Toc8191"/>
      <w:bookmarkStart w:id="90" w:name="_Toc19445"/>
      <w:bookmarkStart w:id="91" w:name="_Toc16242"/>
      <w:bookmarkStart w:id="92" w:name="_Toc24824"/>
      <w:r>
        <w:rPr>
          <w:rFonts w:hint="eastAsia" w:ascii="宋体" w:hAnsi="宋体" w:eastAsia="宋体" w:cs="宋体"/>
          <w:sz w:val="30"/>
          <w:szCs w:val="30"/>
          <w:lang w:val="en-US" w:eastAsia="zh-CN"/>
        </w:rPr>
        <w:t>5.1集团级管理与决策支撑体系设计要点</w:t>
      </w:r>
      <w:bookmarkEnd w:id="89"/>
      <w:bookmarkEnd w:id="90"/>
      <w:bookmarkEnd w:id="91"/>
      <w:bookmarkEnd w:id="92"/>
    </w:p>
    <w:p w14:paraId="4C46127E">
      <w:pPr>
        <w:pStyle w:val="4"/>
        <w:bidi w:val="0"/>
        <w:rPr>
          <w:rFonts w:hint="default"/>
          <w:lang w:val="en-US" w:eastAsia="zh-CN"/>
        </w:rPr>
      </w:pPr>
      <w:r>
        <w:rPr>
          <w:rFonts w:hint="default"/>
          <w:lang w:val="en-US" w:eastAsia="zh-CN"/>
        </w:rPr>
        <w:t>5.1.1 集团级智能管理与决策支撑体系</w:t>
      </w:r>
    </w:p>
    <w:p w14:paraId="191057F0">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从集团统一管理与多厂区协同视角出发，规划集团级智能管理与决策支撑体系的总体架构与应用边界。</w:t>
      </w:r>
    </w:p>
    <w:p w14:paraId="7251CAD0">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该体系应在统一数据底座与指标体系基础上，对集团及下属厂区的生产运行、资源配置、能效与减碳、安全环保等核心信息进行集中整合与综合分析。</w:t>
      </w:r>
    </w:p>
    <w:p w14:paraId="7C0954A0">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设计应重点明确：</w:t>
      </w:r>
    </w:p>
    <w:p w14:paraId="5DB021BA">
      <w:pPr>
        <w:widowControl w:val="0"/>
        <w:numPr>
          <w:ilvl w:val="0"/>
          <w:numId w:val="14"/>
        </w:numPr>
        <w:spacing w:line="360" w:lineRule="auto"/>
        <w:ind w:left="1260" w:leftChars="0" w:hanging="420" w:firstLineChars="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集团级数据汇聚范围与口径统一原则；</w:t>
      </w:r>
    </w:p>
    <w:p w14:paraId="68B98140">
      <w:pPr>
        <w:widowControl w:val="0"/>
        <w:numPr>
          <w:ilvl w:val="0"/>
          <w:numId w:val="14"/>
        </w:numPr>
        <w:spacing w:line="360" w:lineRule="auto"/>
        <w:ind w:left="1260" w:leftChars="0" w:hanging="420" w:firstLineChars="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管理分析与决策支撑的应用层级（集团—厂区）；</w:t>
      </w:r>
    </w:p>
    <w:p w14:paraId="33FFC732">
      <w:pPr>
        <w:widowControl w:val="0"/>
        <w:numPr>
          <w:ilvl w:val="0"/>
          <w:numId w:val="14"/>
        </w:numPr>
        <w:spacing w:line="360" w:lineRule="auto"/>
        <w:ind w:left="1260" w:leftChars="0" w:hanging="420" w:firstLineChars="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对厂区业务系统的管理监督、分析与辅助决策定位。</w:t>
      </w:r>
    </w:p>
    <w:p w14:paraId="28EC3346">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该体系不作为现场控制系统或具体业务系统的替代，而作为集团层面的管理分析与决策支撑平台。</w:t>
      </w:r>
    </w:p>
    <w:p w14:paraId="1011DF2E">
      <w:pPr>
        <w:pStyle w:val="4"/>
        <w:bidi w:val="0"/>
        <w:rPr>
          <w:rFonts w:hint="default"/>
          <w:lang w:val="en-US" w:eastAsia="zh-CN"/>
        </w:rPr>
      </w:pPr>
      <w:r>
        <w:rPr>
          <w:rFonts w:hint="default"/>
          <w:lang w:val="en-US" w:eastAsia="zh-CN"/>
        </w:rPr>
        <w:t>5.1.2 集团级智能驾驶舱设计要点</w:t>
      </w:r>
    </w:p>
    <w:p w14:paraId="4636DAA2">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规划集团级智能驾驶舱的整体架构、指标体系与展示层级，作为集团管理层统一掌握整体运行态势的重要窗口。</w:t>
      </w:r>
    </w:p>
    <w:p w14:paraId="5A999835">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设计应明确：</w:t>
      </w:r>
    </w:p>
    <w:p w14:paraId="4A36B8FC">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关键</w:t>
      </w:r>
      <w:r>
        <w:rPr>
          <w:rFonts w:hint="eastAsia" w:ascii="宋体" w:hAnsi="宋体" w:eastAsia="宋体" w:cs="宋体"/>
          <w:kern w:val="0"/>
          <w:sz w:val="24"/>
          <w:szCs w:val="24"/>
          <w:lang w:val="en-US" w:eastAsia="zh-CN" w:bidi="ar"/>
        </w:rPr>
        <w:t>业务数据、</w:t>
      </w:r>
      <w:r>
        <w:rPr>
          <w:rFonts w:hint="default" w:ascii="宋体" w:hAnsi="宋体" w:eastAsia="宋体" w:cs="宋体"/>
          <w:kern w:val="0"/>
          <w:sz w:val="24"/>
          <w:szCs w:val="24"/>
          <w:lang w:val="en-US" w:eastAsia="zh-CN" w:bidi="ar"/>
        </w:rPr>
        <w:t>绩效指标（KPI）的范围与分层结构；</w:t>
      </w:r>
    </w:p>
    <w:p w14:paraId="05E6C880">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关键辅助决策AI智能分析技术的模型框架、技术能力；</w:t>
      </w:r>
    </w:p>
    <w:p w14:paraId="48CD4DBC">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支持从集团到厂区、车间的多层级指标下钻分析能力</w:t>
      </w:r>
      <w:r>
        <w:rPr>
          <w:rFonts w:hint="eastAsia" w:ascii="宋体" w:hAnsi="宋体" w:eastAsia="宋体" w:cs="宋体"/>
          <w:kern w:val="0"/>
          <w:sz w:val="24"/>
          <w:szCs w:val="24"/>
          <w:lang w:val="en-US" w:eastAsia="zh-CN" w:bidi="ar"/>
        </w:rPr>
        <w:t>，分析能力实现路径</w:t>
      </w:r>
      <w:r>
        <w:rPr>
          <w:rFonts w:hint="default" w:ascii="宋体" w:hAnsi="宋体" w:eastAsia="宋体" w:cs="宋体"/>
          <w:kern w:val="0"/>
          <w:sz w:val="24"/>
          <w:szCs w:val="24"/>
          <w:lang w:val="en-US" w:eastAsia="zh-CN" w:bidi="ar"/>
        </w:rPr>
        <w:t>；</w:t>
      </w:r>
    </w:p>
    <w:p w14:paraId="3ECB2B73">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驾驶舱与数据平台、分析模型之间的逻辑关系。</w:t>
      </w:r>
    </w:p>
    <w:p w14:paraId="2F7A0698">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驾驶舱重点用于管理态势展示、对标分析与决策辅助，不承担具体业务操作功能。</w:t>
      </w:r>
    </w:p>
    <w:p w14:paraId="59D0FD58">
      <w:pPr>
        <w:pStyle w:val="4"/>
        <w:bidi w:val="0"/>
        <w:rPr>
          <w:rFonts w:hint="default"/>
          <w:lang w:val="en-US" w:eastAsia="zh-CN"/>
        </w:rPr>
      </w:pPr>
      <w:r>
        <w:rPr>
          <w:rFonts w:hint="default"/>
          <w:lang w:val="en-US" w:eastAsia="zh-CN"/>
        </w:rPr>
        <w:t>5.1.3 集团级运营监管与资源统筹设计要点</w:t>
      </w:r>
    </w:p>
    <w:p w14:paraId="7902D6D0">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规划集团层面对下属厂区的运营监管与资源统筹能力，重点体现集团标准化管理与统一管控要求。</w:t>
      </w:r>
    </w:p>
    <w:p w14:paraId="69B3332D">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设计应覆盖：</w:t>
      </w:r>
    </w:p>
    <w:p w14:paraId="663124EF">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集团级运营规范与管理指标的统一承载；</w:t>
      </w:r>
    </w:p>
    <w:p w14:paraId="68F65969">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跨厂区生产运行、设备资产、能源与物资等资源的统计分析与统筹视图；</w:t>
      </w:r>
    </w:p>
    <w:p w14:paraId="7F0E93A4">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对厂区运营状态、合规性与异常情况的监测与分析机制。</w:t>
      </w:r>
    </w:p>
    <w:p w14:paraId="2ED3118E">
      <w:pPr>
        <w:pStyle w:val="4"/>
        <w:bidi w:val="0"/>
        <w:rPr>
          <w:rFonts w:hint="default"/>
          <w:lang w:val="en-US" w:eastAsia="zh-CN"/>
        </w:rPr>
      </w:pPr>
      <w:r>
        <w:rPr>
          <w:rFonts w:hint="default"/>
          <w:lang w:val="en-US" w:eastAsia="zh-CN"/>
        </w:rPr>
        <w:t>5.1.4 集团层面减碳与碳贡献管理设计要点</w:t>
      </w:r>
    </w:p>
    <w:p w14:paraId="3D1D4E8C">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结合集团餐厨垃圾、厨余垃圾及废弃油脂资源化处理业务特性，规划集团层面的减碳核算与减排贡献管理体系。</w:t>
      </w:r>
    </w:p>
    <w:p w14:paraId="18C886B8">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设计应重点明确：</w:t>
      </w:r>
    </w:p>
    <w:p w14:paraId="32B6A10A">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基于行业标准与方法学的减碳核算总体思路；</w:t>
      </w:r>
    </w:p>
    <w:p w14:paraId="2FAAC707">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集团及厂区层面的减碳数据汇聚、分析与展示方式；</w:t>
      </w:r>
    </w:p>
    <w:p w14:paraId="158621CD">
      <w:pPr>
        <w:widowControl w:val="0"/>
        <w:numPr>
          <w:ilvl w:val="0"/>
          <w:numId w:val="14"/>
        </w:numPr>
        <w:spacing w:line="360" w:lineRule="auto"/>
        <w:ind w:left="1260" w:leftChars="0" w:hanging="420" w:firstLineChars="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减碳贡献的统计口径、对外展示与管理支撑边界。</w:t>
      </w:r>
    </w:p>
    <w:p w14:paraId="2CC2633E">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该体系用于管理分析与政策合规支撑，不涉及碳交易或碳金融系统的实施要求。</w:t>
      </w:r>
    </w:p>
    <w:p w14:paraId="4A14D972">
      <w:pPr>
        <w:pStyle w:val="3"/>
        <w:rPr>
          <w:rFonts w:hint="default" w:ascii="宋体" w:hAnsi="宋体" w:eastAsia="宋体" w:cs="宋体"/>
          <w:sz w:val="30"/>
          <w:szCs w:val="30"/>
          <w:lang w:val="en-US" w:eastAsia="zh-CN"/>
        </w:rPr>
      </w:pPr>
      <w:bookmarkStart w:id="93" w:name="_Toc5859"/>
      <w:bookmarkStart w:id="94" w:name="_Toc28700"/>
      <w:bookmarkStart w:id="95" w:name="_Toc8593"/>
      <w:bookmarkStart w:id="96" w:name="_Toc22467"/>
      <w:r>
        <w:rPr>
          <w:rFonts w:hint="default" w:ascii="宋体" w:hAnsi="宋体" w:eastAsia="宋体" w:cs="宋体"/>
          <w:sz w:val="30"/>
          <w:szCs w:val="30"/>
          <w:lang w:val="en-US" w:eastAsia="zh-CN"/>
        </w:rPr>
        <w:t>5.2 厂区级生产运营应用体系设计要点</w:t>
      </w:r>
      <w:bookmarkEnd w:id="93"/>
      <w:bookmarkEnd w:id="94"/>
      <w:bookmarkEnd w:id="95"/>
      <w:bookmarkEnd w:id="96"/>
    </w:p>
    <w:p w14:paraId="00385BF5">
      <w:pPr>
        <w:pStyle w:val="4"/>
        <w:bidi w:val="0"/>
        <w:rPr>
          <w:rFonts w:hint="default"/>
          <w:lang w:val="en-US" w:eastAsia="zh-CN"/>
        </w:rPr>
      </w:pPr>
      <w:r>
        <w:rPr>
          <w:rFonts w:hint="default"/>
          <w:lang w:val="en-US" w:eastAsia="zh-CN"/>
        </w:rPr>
        <w:t>5.2.1 生产运行管理体系设计要点</w:t>
      </w:r>
    </w:p>
    <w:p w14:paraId="496FABC3">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围绕餐厨垃圾处理与生物柴油生产核心业务，规划厂区级生产运行管理体系的设计框架。</w:t>
      </w:r>
    </w:p>
    <w:p w14:paraId="7FADD0E3">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设计应明确：</w:t>
      </w:r>
    </w:p>
    <w:p w14:paraId="421DB3E1">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生产过程关键工艺环节与核心参数的可视化与监测要求；</w:t>
      </w:r>
    </w:p>
    <w:p w14:paraId="12323905">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异常状态识别、告警与管理处置的业务逻辑边界；</w:t>
      </w:r>
    </w:p>
    <w:p w14:paraId="7169BF5D">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与化验分析、工艺</w:t>
      </w:r>
      <w:r>
        <w:rPr>
          <w:rFonts w:hint="eastAsia" w:ascii="宋体" w:hAnsi="宋体" w:eastAsia="宋体" w:cs="宋体"/>
          <w:kern w:val="0"/>
          <w:sz w:val="24"/>
          <w:szCs w:val="24"/>
          <w:lang w:val="en-US" w:eastAsia="zh-CN" w:bidi="ar"/>
        </w:rPr>
        <w:t>智能化</w:t>
      </w:r>
      <w:r>
        <w:rPr>
          <w:rFonts w:hint="default" w:ascii="宋体" w:hAnsi="宋体" w:eastAsia="宋体" w:cs="宋体"/>
          <w:kern w:val="0"/>
          <w:sz w:val="24"/>
          <w:szCs w:val="24"/>
          <w:lang w:val="en-US" w:eastAsia="zh-CN" w:bidi="ar"/>
        </w:rPr>
        <w:t>分析等业务数据的集成关系。</w:t>
      </w:r>
    </w:p>
    <w:p w14:paraId="02F4A3BB">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该体系以运行监控、分析支撑为目标，不替代DCS/PLC等现场控制系统。</w:t>
      </w:r>
    </w:p>
    <w:p w14:paraId="590EAFCE">
      <w:pPr>
        <w:pStyle w:val="4"/>
        <w:bidi w:val="0"/>
        <w:rPr>
          <w:rFonts w:hint="default"/>
          <w:lang w:val="en-US" w:eastAsia="zh-CN"/>
        </w:rPr>
      </w:pPr>
      <w:r>
        <w:rPr>
          <w:rFonts w:hint="default"/>
          <w:lang w:val="en-US" w:eastAsia="zh-CN"/>
        </w:rPr>
        <w:t>5.2.2 设备全生命周期管理体系设计要点</w:t>
      </w:r>
    </w:p>
    <w:p w14:paraId="4EE167A5">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规划厂区设备全生命周期管理体系的总体设计思路，覆盖设备台账、运行状态、维护管理与技术资料等内容。</w:t>
      </w:r>
    </w:p>
    <w:p w14:paraId="318A2B7A">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设计应重点考虑：</w:t>
      </w:r>
    </w:p>
    <w:p w14:paraId="5F6AAE10">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设备基础信息、运行数据与维护记录的统一管理；</w:t>
      </w:r>
    </w:p>
    <w:p w14:paraId="2E067C36">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设备状态评估与健康分析的设计接口与数据基础；</w:t>
      </w:r>
    </w:p>
    <w:p w14:paraId="6EC4FCF4">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与生产、能源、安全等系统的数据关联关系。</w:t>
      </w:r>
    </w:p>
    <w:p w14:paraId="19001A01">
      <w:pPr>
        <w:pStyle w:val="4"/>
        <w:bidi w:val="0"/>
        <w:rPr>
          <w:rFonts w:hint="default"/>
          <w:lang w:val="en-US" w:eastAsia="zh-CN"/>
        </w:rPr>
      </w:pPr>
      <w:r>
        <w:rPr>
          <w:rFonts w:hint="default"/>
          <w:lang w:val="en-US" w:eastAsia="zh-CN"/>
        </w:rPr>
        <w:t>5.2.3 物料与仓储管理体系设计要点</w:t>
      </w:r>
    </w:p>
    <w:p w14:paraId="53911919">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围绕生物柴油及餐厨垃圾处理业务，规划厂区物料与仓储管理体系的设计要求。</w:t>
      </w:r>
    </w:p>
    <w:p w14:paraId="1F11B866">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设计应明确：</w:t>
      </w:r>
    </w:p>
    <w:p w14:paraId="3D581818">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原料、辅料、成品及副产品的管理范围；</w:t>
      </w:r>
    </w:p>
    <w:p w14:paraId="2B26A9ED">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物料进出、库存状态与罐区数据的集成展示方式；</w:t>
      </w:r>
    </w:p>
    <w:p w14:paraId="29435916">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与生产、能源、成本分析的关联逻辑。</w:t>
      </w:r>
    </w:p>
    <w:p w14:paraId="1F04C531">
      <w:pPr>
        <w:pStyle w:val="4"/>
        <w:bidi w:val="0"/>
        <w:rPr>
          <w:rFonts w:hint="default"/>
          <w:lang w:val="en-US" w:eastAsia="zh-CN"/>
        </w:rPr>
      </w:pPr>
      <w:r>
        <w:rPr>
          <w:rFonts w:hint="default"/>
          <w:lang w:val="en-US" w:eastAsia="zh-CN"/>
        </w:rPr>
        <w:t>5.2.4 能源管理与能源平衡分析体系设计要点</w:t>
      </w:r>
    </w:p>
    <w:p w14:paraId="078B4C84">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规划厂区能源管理体系的总体设计框架，覆盖电力、蒸汽、沼气、水等</w:t>
      </w:r>
      <w:r>
        <w:rPr>
          <w:rFonts w:hint="eastAsia" w:ascii="宋体" w:hAnsi="宋体" w:eastAsia="宋体" w:cs="宋体"/>
          <w:kern w:val="0"/>
          <w:sz w:val="24"/>
          <w:szCs w:val="24"/>
          <w:lang w:val="en-US" w:eastAsia="zh-CN" w:bidi="ar"/>
        </w:rPr>
        <w:t>多种</w:t>
      </w:r>
      <w:r>
        <w:rPr>
          <w:rFonts w:hint="default" w:ascii="宋体" w:hAnsi="宋体" w:eastAsia="宋体" w:cs="宋体"/>
          <w:kern w:val="0"/>
          <w:sz w:val="24"/>
          <w:szCs w:val="24"/>
          <w:lang w:val="en-US" w:eastAsia="zh-CN" w:bidi="ar"/>
        </w:rPr>
        <w:t>能源类型。</w:t>
      </w:r>
    </w:p>
    <w:p w14:paraId="4E7D91E9">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设计应重点体现：</w:t>
      </w:r>
    </w:p>
    <w:p w14:paraId="0D3FD17F">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能源数据的统一采集与分类管理；</w:t>
      </w:r>
    </w:p>
    <w:p w14:paraId="36794B50">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能源消耗、供需平衡与结构分析的可视化要求；</w:t>
      </w:r>
    </w:p>
    <w:p w14:paraId="0E86D3EC">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与生产运行、减碳核算体系的数据衔接关系。</w:t>
      </w:r>
    </w:p>
    <w:p w14:paraId="1686EC43">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该体系用于能源分析与管理支撑，不承担现场能源调度与控制功能。</w:t>
      </w:r>
    </w:p>
    <w:p w14:paraId="08A2734E">
      <w:pPr>
        <w:pStyle w:val="4"/>
        <w:bidi w:val="0"/>
        <w:rPr>
          <w:rFonts w:hint="default"/>
          <w:lang w:val="en-US" w:eastAsia="zh-CN"/>
        </w:rPr>
      </w:pPr>
      <w:r>
        <w:rPr>
          <w:rFonts w:hint="default"/>
          <w:lang w:val="en-US" w:eastAsia="zh-CN"/>
        </w:rPr>
        <w:t>5.2.5 安全与环保管理体系设计要点</w:t>
      </w:r>
    </w:p>
    <w:p w14:paraId="5870FD3D">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规划厂区安全与环保管理体系的设计边界，重点围绕安全生产与环保合规的监测、分析与管理需求。</w:t>
      </w:r>
    </w:p>
    <w:p w14:paraId="552BEAB8">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设计应覆盖：</w:t>
      </w:r>
    </w:p>
    <w:p w14:paraId="7C648F5C">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关键安全与环保监测数据的统一接入与展示；</w:t>
      </w:r>
    </w:p>
    <w:p w14:paraId="312C04A8">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风险识别、告警与管理闭环的业务逻辑；</w:t>
      </w:r>
    </w:p>
    <w:p w14:paraId="445FCE00">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与生产运行、设备管理等系统的联动分析需求。</w:t>
      </w:r>
    </w:p>
    <w:p w14:paraId="7CD05150">
      <w:pPr>
        <w:pStyle w:val="4"/>
        <w:bidi w:val="0"/>
        <w:rPr>
          <w:rFonts w:hint="default"/>
          <w:lang w:val="en-US" w:eastAsia="zh-CN"/>
        </w:rPr>
      </w:pPr>
      <w:r>
        <w:rPr>
          <w:rFonts w:hint="default"/>
          <w:lang w:val="en-US" w:eastAsia="zh-CN"/>
        </w:rPr>
        <w:t>5.2.6 数字孪生在厂区运营中的应用定位</w:t>
      </w:r>
    </w:p>
    <w:p w14:paraId="0239A6A5">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明确数字孪生在厂区运营管理中的定位与设计要求。</w:t>
      </w:r>
    </w:p>
    <w:p w14:paraId="4E5E3D25">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数字孪生应作为：</w:t>
      </w:r>
    </w:p>
    <w:p w14:paraId="27A2EA2A">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生产流程与运行状态的可视化载体；</w:t>
      </w:r>
    </w:p>
    <w:p w14:paraId="4EB2B0B0">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管理分析与运行展示的支撑工具；</w:t>
      </w:r>
    </w:p>
    <w:p w14:paraId="2A5C11E5">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辅助理解与决策的数字化映射手段。</w:t>
      </w:r>
    </w:p>
    <w:p w14:paraId="6E39F07E">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不作为现场控制或独立运行系统。</w:t>
      </w:r>
    </w:p>
    <w:p w14:paraId="4BF1A636">
      <w:pPr>
        <w:pStyle w:val="3"/>
        <w:rPr>
          <w:rFonts w:hint="default" w:ascii="宋体" w:hAnsi="宋体" w:eastAsia="宋体" w:cs="宋体"/>
          <w:sz w:val="30"/>
          <w:szCs w:val="30"/>
          <w:lang w:val="en-US" w:eastAsia="zh-CN"/>
        </w:rPr>
      </w:pPr>
      <w:bookmarkStart w:id="97" w:name="_Toc22699"/>
      <w:bookmarkStart w:id="98" w:name="_Toc30414"/>
      <w:bookmarkStart w:id="99" w:name="_Toc929"/>
      <w:bookmarkStart w:id="100" w:name="_Toc7543"/>
      <w:r>
        <w:rPr>
          <w:rFonts w:hint="default" w:ascii="宋体" w:hAnsi="宋体" w:eastAsia="宋体" w:cs="宋体"/>
          <w:sz w:val="30"/>
          <w:szCs w:val="30"/>
          <w:lang w:val="en-US" w:eastAsia="zh-CN"/>
        </w:rPr>
        <w:t>5.3 协同支撑与平台通用能力设计要点</w:t>
      </w:r>
      <w:bookmarkEnd w:id="97"/>
      <w:bookmarkEnd w:id="98"/>
      <w:bookmarkEnd w:id="99"/>
      <w:bookmarkEnd w:id="100"/>
    </w:p>
    <w:p w14:paraId="35DB28ED">
      <w:pPr>
        <w:pStyle w:val="4"/>
        <w:bidi w:val="0"/>
        <w:rPr>
          <w:rFonts w:hint="default"/>
          <w:lang w:val="en-US" w:eastAsia="zh-CN"/>
        </w:rPr>
      </w:pPr>
      <w:r>
        <w:rPr>
          <w:rFonts w:hint="default"/>
          <w:lang w:val="en-US" w:eastAsia="zh-CN"/>
        </w:rPr>
        <w:t>5.3.1 业务协同与流程管理能力</w:t>
      </w:r>
    </w:p>
    <w:p w14:paraId="5A7BCCC5">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规划支持跨系统、跨部门协同的流程管理与业务协同能力。</w:t>
      </w:r>
    </w:p>
    <w:p w14:paraId="63AED1D2">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设计应明确：</w:t>
      </w:r>
    </w:p>
    <w:p w14:paraId="3600DA68">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流程配置的灵活性与可扩展性；</w:t>
      </w:r>
    </w:p>
    <w:p w14:paraId="01A720EA">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与生产、设备、安全等业务系统的集成关系；</w:t>
      </w:r>
    </w:p>
    <w:p w14:paraId="7A4D607B">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异常处置与管理流程的支撑能力。</w:t>
      </w:r>
    </w:p>
    <w:p w14:paraId="0B355BA9">
      <w:pPr>
        <w:pStyle w:val="4"/>
        <w:bidi w:val="0"/>
        <w:rPr>
          <w:rFonts w:hint="default"/>
          <w:lang w:val="en-US" w:eastAsia="zh-CN"/>
        </w:rPr>
      </w:pPr>
      <w:r>
        <w:rPr>
          <w:rFonts w:hint="default"/>
          <w:lang w:val="en-US" w:eastAsia="zh-CN"/>
        </w:rPr>
        <w:t>5.3.2 移动应用与现场支撑能力</w:t>
      </w:r>
    </w:p>
    <w:p w14:paraId="07BA70E1">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规划移动端在巡检、报修、信息查询与数据采集等场景下的设计要求，作为桌面系统的重要补充。</w:t>
      </w:r>
    </w:p>
    <w:p w14:paraId="05755A01">
      <w:pPr>
        <w:pStyle w:val="4"/>
        <w:bidi w:val="0"/>
        <w:rPr>
          <w:rFonts w:hint="default"/>
          <w:lang w:val="en-US" w:eastAsia="zh-CN"/>
        </w:rPr>
      </w:pPr>
      <w:r>
        <w:rPr>
          <w:rFonts w:hint="default"/>
          <w:lang w:val="en-US" w:eastAsia="zh-CN"/>
        </w:rPr>
        <w:t>5.3.3 系统管理与平台支撑能力</w:t>
      </w:r>
    </w:p>
    <w:p w14:paraId="02C52876">
      <w:pPr>
        <w:widowControl w:val="0"/>
        <w:spacing w:line="360" w:lineRule="auto"/>
        <w:ind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规划统一的系统管理与平台支撑能力，包括但不限于：</w:t>
      </w:r>
    </w:p>
    <w:p w14:paraId="7C17330B">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用户与权限体系设计；</w:t>
      </w:r>
    </w:p>
    <w:p w14:paraId="2E8263F6">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系统运行与操作审计；</w:t>
      </w:r>
    </w:p>
    <w:p w14:paraId="62243867">
      <w:pPr>
        <w:widowControl w:val="0"/>
        <w:numPr>
          <w:ilvl w:val="0"/>
          <w:numId w:val="14"/>
        </w:numPr>
        <w:spacing w:line="360" w:lineRule="auto"/>
        <w:ind w:left="1260" w:leftChars="0" w:hanging="420" w:firstLineChars="0"/>
        <w:jc w:val="left"/>
        <w:rPr>
          <w:rFonts w:hint="default" w:ascii="宋体" w:hAnsi="宋体" w:eastAsia="宋体" w:cs="宋体"/>
          <w:kern w:val="0"/>
          <w:sz w:val="24"/>
          <w:szCs w:val="24"/>
          <w:lang w:val="en-US" w:eastAsia="zh-CN" w:bidi="ar"/>
        </w:rPr>
      </w:pPr>
      <w:r>
        <w:rPr>
          <w:rFonts w:hint="default" w:ascii="宋体" w:hAnsi="宋体" w:eastAsia="宋体" w:cs="宋体"/>
          <w:kern w:val="0"/>
          <w:sz w:val="24"/>
          <w:szCs w:val="24"/>
          <w:lang w:val="en-US" w:eastAsia="zh-CN" w:bidi="ar"/>
        </w:rPr>
        <w:t>平台级扩展与运维支撑能力。</w:t>
      </w:r>
    </w:p>
    <w:p w14:paraId="0CEC755B">
      <w:pPr>
        <w:pStyle w:val="2"/>
        <w:keepNext/>
        <w:keepLines/>
        <w:widowControl w:val="0"/>
        <w:spacing w:line="240" w:lineRule="auto"/>
        <w:rPr>
          <w:rFonts w:hint="eastAsia" w:ascii="宋体" w:hAnsi="宋体" w:eastAsia="宋体" w:cs="宋体"/>
          <w:sz w:val="32"/>
          <w:szCs w:val="32"/>
        </w:rPr>
      </w:pPr>
      <w:bookmarkStart w:id="101" w:name="_Toc27604"/>
      <w:bookmarkStart w:id="102" w:name="_Toc4100"/>
      <w:bookmarkStart w:id="103" w:name="_Toc27307"/>
      <w:bookmarkStart w:id="104" w:name="_Toc9096"/>
      <w:bookmarkStart w:id="105" w:name="_Toc15309"/>
      <w:bookmarkStart w:id="106" w:name="_Toc6855"/>
      <w:bookmarkStart w:id="107" w:name="_Toc26312"/>
      <w:r>
        <w:rPr>
          <w:rFonts w:hint="eastAsia" w:ascii="宋体" w:hAnsi="宋体" w:eastAsia="宋体" w:cs="宋体"/>
          <w:sz w:val="32"/>
          <w:szCs w:val="32"/>
          <w:lang w:val="en-US" w:eastAsia="zh-CN"/>
        </w:rPr>
        <w:t>六</w:t>
      </w:r>
      <w:r>
        <w:rPr>
          <w:rFonts w:hint="eastAsia" w:ascii="宋体" w:hAnsi="宋体" w:eastAsia="宋体" w:cs="宋体"/>
          <w:sz w:val="32"/>
          <w:szCs w:val="32"/>
        </w:rPr>
        <w:t>、数据架构</w:t>
      </w:r>
      <w:r>
        <w:rPr>
          <w:rFonts w:hint="eastAsia" w:ascii="宋体" w:hAnsi="宋体" w:eastAsia="宋体" w:cs="宋体"/>
          <w:sz w:val="32"/>
          <w:szCs w:val="32"/>
          <w:lang w:val="en-US" w:eastAsia="zh-CN"/>
        </w:rPr>
        <w:t>与数据治理</w:t>
      </w:r>
      <w:r>
        <w:rPr>
          <w:rFonts w:hint="eastAsia" w:ascii="宋体" w:hAnsi="宋体" w:eastAsia="宋体" w:cs="宋体"/>
          <w:sz w:val="32"/>
          <w:szCs w:val="32"/>
        </w:rPr>
        <w:t>设计要求</w:t>
      </w:r>
      <w:bookmarkEnd w:id="101"/>
      <w:bookmarkEnd w:id="102"/>
      <w:bookmarkEnd w:id="103"/>
      <w:bookmarkEnd w:id="104"/>
      <w:bookmarkEnd w:id="105"/>
      <w:bookmarkEnd w:id="106"/>
      <w:bookmarkEnd w:id="107"/>
    </w:p>
    <w:p w14:paraId="49004C29">
      <w:pPr>
        <w:pStyle w:val="3"/>
        <w:rPr>
          <w:rFonts w:hint="eastAsia" w:ascii="宋体" w:hAnsi="宋体" w:eastAsia="宋体" w:cs="宋体"/>
          <w:sz w:val="30"/>
          <w:szCs w:val="30"/>
          <w:lang w:val="en-US" w:eastAsia="zh-CN"/>
        </w:rPr>
      </w:pPr>
      <w:bookmarkStart w:id="108" w:name="_Toc2492"/>
      <w:bookmarkStart w:id="109" w:name="_Toc23154"/>
      <w:bookmarkStart w:id="110" w:name="_Toc26547"/>
      <w:bookmarkStart w:id="111" w:name="_Toc11681"/>
      <w:r>
        <w:rPr>
          <w:rFonts w:hint="eastAsia" w:ascii="宋体" w:hAnsi="宋体" w:eastAsia="宋体" w:cs="宋体"/>
          <w:sz w:val="30"/>
          <w:szCs w:val="30"/>
          <w:lang w:val="en-US" w:eastAsia="zh-CN"/>
        </w:rPr>
        <w:t>6.1数据架构总体原则</w:t>
      </w:r>
      <w:bookmarkEnd w:id="108"/>
      <w:bookmarkEnd w:id="109"/>
      <w:bookmarkEnd w:id="110"/>
      <w:bookmarkEnd w:id="111"/>
    </w:p>
    <w:p w14:paraId="5D443E1A">
      <w:pPr>
        <w:keepNext w:val="0"/>
        <w:keepLines w:val="0"/>
        <w:widowControl w:val="0"/>
        <w:suppressLineNumbers w:val="0"/>
        <w:spacing w:line="360" w:lineRule="auto"/>
        <w:ind w:firstLine="720" w:firstLineChars="300"/>
        <w:rPr>
          <w:rFonts w:ascii="宋体" w:hAnsi="宋体" w:eastAsia="宋体" w:cs="宋体"/>
          <w:kern w:val="0"/>
          <w:sz w:val="24"/>
          <w:lang w:bidi="ar"/>
        </w:rPr>
      </w:pPr>
      <w:r>
        <w:rPr>
          <w:rFonts w:ascii="宋体" w:hAnsi="宋体" w:eastAsia="宋体" w:cs="宋体"/>
          <w:kern w:val="0"/>
          <w:sz w:val="24"/>
          <w:lang w:bidi="ar"/>
        </w:rPr>
        <w:t>本项目数据架构设计应围绕集团级一体化管控与厂区级精细化运营的总体目标，遵循“统一规划、分级管理、数据共享、持续扩展”的原则，从规划设计层面明确数据体系的总体框架与治理要求。</w:t>
      </w:r>
    </w:p>
    <w:p w14:paraId="42F2B55C">
      <w:pPr>
        <w:keepNext w:val="0"/>
        <w:keepLines w:val="0"/>
        <w:widowControl w:val="0"/>
        <w:suppressLineNumbers w:val="0"/>
        <w:spacing w:line="360" w:lineRule="auto"/>
        <w:ind w:firstLine="720" w:firstLineChars="300"/>
        <w:rPr>
          <w:rFonts w:hint="default" w:ascii="宋体" w:hAnsi="宋体" w:eastAsia="宋体" w:cs="宋体"/>
          <w:kern w:val="0"/>
          <w:sz w:val="24"/>
          <w:lang w:val="en-US" w:eastAsia="zh-CN" w:bidi="ar"/>
        </w:rPr>
      </w:pPr>
      <w:r>
        <w:rPr>
          <w:rFonts w:ascii="宋体" w:hAnsi="宋体" w:eastAsia="宋体" w:cs="宋体"/>
          <w:kern w:val="0"/>
          <w:sz w:val="24"/>
          <w:lang w:bidi="ar"/>
        </w:rPr>
        <w:t>数据架构设计应充分支撑餐厨垃圾、厨余垃圾、生物柴油等核心业务场景，以及设备管理、能源管理、安全环保、数字孪生与智能决策等应用需求，为后续系统建设与扩展预留充足空间。</w:t>
      </w:r>
    </w:p>
    <w:p w14:paraId="02FD45A9">
      <w:pPr>
        <w:pStyle w:val="3"/>
        <w:rPr>
          <w:rFonts w:hint="eastAsia" w:ascii="宋体" w:hAnsi="宋体" w:eastAsia="宋体" w:cs="宋体"/>
          <w:sz w:val="30"/>
          <w:szCs w:val="30"/>
          <w:lang w:val="en-US" w:eastAsia="zh-CN"/>
        </w:rPr>
      </w:pPr>
      <w:bookmarkStart w:id="112" w:name="_Toc26507"/>
      <w:bookmarkStart w:id="113" w:name="_Toc23157"/>
      <w:bookmarkStart w:id="114" w:name="_Toc22107"/>
      <w:bookmarkStart w:id="115" w:name="_Toc26713"/>
      <w:r>
        <w:rPr>
          <w:rFonts w:hint="eastAsia" w:ascii="宋体" w:hAnsi="宋体" w:eastAsia="宋体" w:cs="宋体"/>
          <w:sz w:val="30"/>
          <w:szCs w:val="30"/>
          <w:lang w:val="en-US" w:eastAsia="zh-CN"/>
        </w:rPr>
        <w:t>6.2数据标准与数据治理要求</w:t>
      </w:r>
      <w:bookmarkEnd w:id="112"/>
      <w:bookmarkEnd w:id="113"/>
      <w:bookmarkEnd w:id="114"/>
      <w:bookmarkEnd w:id="115"/>
    </w:p>
    <w:p w14:paraId="05DA8608">
      <w:pPr>
        <w:pStyle w:val="4"/>
        <w:bidi w:val="0"/>
        <w:rPr>
          <w:rFonts w:hint="eastAsia"/>
          <w:lang w:val="en-US" w:eastAsia="zh-CN"/>
        </w:rPr>
      </w:pPr>
      <w:r>
        <w:rPr>
          <w:rFonts w:hint="eastAsia"/>
          <w:lang w:val="en-US" w:eastAsia="zh-CN"/>
        </w:rPr>
        <w:t>6.2.1 数据标准化设计</w:t>
      </w:r>
    </w:p>
    <w:p w14:paraId="036E8F3A">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从设计层面规划统一的数据标准体系，包括但不限于：</w:t>
      </w:r>
    </w:p>
    <w:p w14:paraId="6986A3BB">
      <w:pPr>
        <w:widowControl w:val="0"/>
        <w:numPr>
          <w:ilvl w:val="0"/>
          <w:numId w:val="14"/>
        </w:numPr>
        <w:spacing w:line="360" w:lineRule="auto"/>
        <w:ind w:left="1260" w:leftChars="0" w:hanging="420" w:firstLineChars="0"/>
        <w:jc w:val="left"/>
        <w:rPr>
          <w:rFonts w:hint="eastAsia" w:ascii="宋体" w:hAnsi="宋体" w:eastAsia="宋体" w:cs="宋体"/>
          <w:kern w:val="0"/>
          <w:sz w:val="24"/>
          <w:szCs w:val="24"/>
          <w:lang w:val="en-US" w:eastAsia="zh-CN" w:bidi="ar"/>
        </w:rPr>
      </w:pPr>
      <w:r>
        <w:rPr>
          <w:rFonts w:hint="eastAsia" w:ascii="宋体" w:hAnsi="宋体" w:eastAsia="宋体" w:cs="宋体"/>
          <w:b/>
          <w:bCs/>
          <w:kern w:val="0"/>
          <w:sz w:val="24"/>
          <w:szCs w:val="24"/>
          <w:lang w:val="en-US" w:eastAsia="zh-CN" w:bidi="ar"/>
        </w:rPr>
        <w:t>统一数据字典与指标口径</w:t>
      </w:r>
      <w:r>
        <w:rPr>
          <w:rFonts w:hint="eastAsia" w:ascii="宋体" w:hAnsi="宋体" w:eastAsia="宋体" w:cs="宋体"/>
          <w:kern w:val="0"/>
          <w:sz w:val="24"/>
          <w:szCs w:val="24"/>
          <w:lang w:val="en-US" w:eastAsia="zh-CN" w:bidi="ar"/>
        </w:rPr>
        <w:t>：明确生产运行、设备状态、能源消耗、环保排放、碳减排等核心数据的定义原则与口径一致性要求；</w:t>
      </w:r>
    </w:p>
    <w:p w14:paraId="41F04F13">
      <w:pPr>
        <w:widowControl w:val="0"/>
        <w:numPr>
          <w:ilvl w:val="0"/>
          <w:numId w:val="14"/>
        </w:numPr>
        <w:spacing w:line="360" w:lineRule="auto"/>
        <w:ind w:left="1260" w:leftChars="0" w:hanging="420" w:firstLineChars="0"/>
        <w:jc w:val="left"/>
        <w:rPr>
          <w:rFonts w:hint="eastAsia" w:ascii="宋体" w:hAnsi="宋体" w:eastAsia="宋体" w:cs="宋体"/>
          <w:kern w:val="0"/>
          <w:sz w:val="24"/>
          <w:szCs w:val="24"/>
          <w:lang w:val="en-US" w:eastAsia="zh-CN" w:bidi="ar"/>
        </w:rPr>
      </w:pPr>
      <w:r>
        <w:rPr>
          <w:rFonts w:hint="eastAsia" w:ascii="宋体" w:hAnsi="宋体" w:eastAsia="宋体" w:cs="宋体"/>
          <w:b/>
          <w:bCs/>
          <w:kern w:val="0"/>
          <w:sz w:val="24"/>
          <w:szCs w:val="24"/>
          <w:lang w:val="en-US" w:eastAsia="zh-CN" w:bidi="ar"/>
        </w:rPr>
        <w:t>主数据与业务数据分层</w:t>
      </w:r>
      <w:r>
        <w:rPr>
          <w:rFonts w:hint="eastAsia" w:ascii="宋体" w:hAnsi="宋体" w:eastAsia="宋体" w:cs="宋体"/>
          <w:kern w:val="0"/>
          <w:sz w:val="24"/>
          <w:szCs w:val="24"/>
          <w:lang w:val="en-US" w:eastAsia="zh-CN" w:bidi="ar"/>
        </w:rPr>
        <w:t>：区分设备、物料、工艺、组织等主数据与过程数据、统计数据的管理边界；</w:t>
      </w:r>
    </w:p>
    <w:p w14:paraId="1E55D697">
      <w:pPr>
        <w:widowControl w:val="0"/>
        <w:numPr>
          <w:ilvl w:val="0"/>
          <w:numId w:val="14"/>
        </w:numPr>
        <w:spacing w:line="360" w:lineRule="auto"/>
        <w:ind w:left="1260" w:leftChars="0" w:hanging="420" w:firstLineChars="0"/>
        <w:jc w:val="left"/>
        <w:rPr>
          <w:rFonts w:hint="eastAsia" w:ascii="宋体" w:hAnsi="宋体" w:eastAsia="宋体" w:cs="宋体"/>
          <w:kern w:val="0"/>
          <w:sz w:val="24"/>
          <w:szCs w:val="24"/>
          <w:lang w:val="en-US" w:eastAsia="zh-CN" w:bidi="ar"/>
        </w:rPr>
      </w:pPr>
      <w:r>
        <w:rPr>
          <w:rFonts w:hint="eastAsia" w:ascii="宋体" w:hAnsi="宋体" w:eastAsia="宋体" w:cs="宋体"/>
          <w:b/>
          <w:bCs/>
          <w:kern w:val="0"/>
          <w:sz w:val="24"/>
          <w:szCs w:val="24"/>
          <w:lang w:val="en-US" w:eastAsia="zh-CN" w:bidi="ar"/>
        </w:rPr>
        <w:t>集团—厂区—业务三级数据体系</w:t>
      </w:r>
      <w:r>
        <w:rPr>
          <w:rFonts w:hint="eastAsia" w:ascii="宋体" w:hAnsi="宋体" w:eastAsia="宋体" w:cs="宋体"/>
          <w:kern w:val="0"/>
          <w:sz w:val="24"/>
          <w:szCs w:val="24"/>
          <w:lang w:val="en-US" w:eastAsia="zh-CN" w:bidi="ar"/>
        </w:rPr>
        <w:t>：明确不同层级数据的归属、汇总与共享原则，支撑跨厂区对标与集团集中分析。</w:t>
      </w:r>
    </w:p>
    <w:p w14:paraId="533F08E7">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数据标准设计应避免与具体系统实现绑定，重点明确规则与原则，为后续系统实施提供统一依据。</w:t>
      </w:r>
    </w:p>
    <w:p w14:paraId="5D70B842">
      <w:pPr>
        <w:pStyle w:val="4"/>
        <w:bidi w:val="0"/>
        <w:rPr>
          <w:rFonts w:hint="eastAsia"/>
          <w:lang w:val="en-US" w:eastAsia="zh-CN"/>
        </w:rPr>
      </w:pPr>
      <w:r>
        <w:rPr>
          <w:rFonts w:hint="eastAsia"/>
          <w:lang w:val="en-US" w:eastAsia="zh-CN"/>
        </w:rPr>
        <w:t>6.2.2 数据治理能力规划</w:t>
      </w:r>
    </w:p>
    <w:p w14:paraId="10D6AD42">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从治理角度规划数据全生命周期管理能力，包括但不限于：</w:t>
      </w:r>
    </w:p>
    <w:p w14:paraId="1E1C2E36">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数据采集质量控制与校验机制；</w:t>
      </w:r>
    </w:p>
    <w:p w14:paraId="0ED90547">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数据一致性、完整性与可追溯性设计；</w:t>
      </w:r>
    </w:p>
    <w:p w14:paraId="0020F62F">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数据血缘关系与指标计算逻辑可追溯设计；</w:t>
      </w:r>
    </w:p>
    <w:p w14:paraId="2F9BD476">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数据变更、修订与历史版本管理要求。</w:t>
      </w:r>
    </w:p>
    <w:p w14:paraId="40D078AA">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通过数据治理能力规划，保障数据在集团级与厂区级应用中的可信性与可用性。</w:t>
      </w:r>
    </w:p>
    <w:p w14:paraId="71295232">
      <w:pPr>
        <w:rPr>
          <w:rFonts w:hint="default"/>
          <w:lang w:val="en-US" w:eastAsia="zh-CN"/>
        </w:rPr>
      </w:pPr>
    </w:p>
    <w:p w14:paraId="3614B313">
      <w:pPr>
        <w:pStyle w:val="3"/>
        <w:rPr>
          <w:rFonts w:hint="eastAsia" w:ascii="宋体" w:hAnsi="宋体" w:eastAsia="宋体" w:cs="宋体"/>
          <w:sz w:val="30"/>
          <w:szCs w:val="30"/>
          <w:lang w:val="en-US" w:eastAsia="zh-CN"/>
        </w:rPr>
      </w:pPr>
      <w:bookmarkStart w:id="116" w:name="_Toc23613"/>
      <w:bookmarkStart w:id="117" w:name="_Toc4884"/>
      <w:bookmarkStart w:id="118" w:name="_Toc4365"/>
      <w:bookmarkStart w:id="119" w:name="_Toc29258"/>
      <w:r>
        <w:rPr>
          <w:rFonts w:hint="eastAsia" w:ascii="宋体" w:hAnsi="宋体" w:eastAsia="宋体" w:cs="宋体"/>
          <w:sz w:val="30"/>
          <w:szCs w:val="30"/>
          <w:lang w:val="en-US" w:eastAsia="zh-CN"/>
        </w:rPr>
        <w:t>6.3 数据流转与存储设计原则</w:t>
      </w:r>
      <w:bookmarkEnd w:id="116"/>
      <w:bookmarkEnd w:id="117"/>
      <w:bookmarkEnd w:id="118"/>
      <w:bookmarkEnd w:id="119"/>
    </w:p>
    <w:p w14:paraId="480775C5">
      <w:pPr>
        <w:pStyle w:val="4"/>
        <w:bidi w:val="0"/>
        <w:rPr>
          <w:rFonts w:hint="default"/>
          <w:lang w:val="en-US" w:eastAsia="zh-CN"/>
        </w:rPr>
      </w:pPr>
      <w:r>
        <w:rPr>
          <w:rFonts w:hint="default"/>
          <w:lang w:val="en-US" w:eastAsia="zh-CN"/>
        </w:rPr>
        <w:t>6.3.1 数据流转架构设计</w:t>
      </w:r>
    </w:p>
    <w:p w14:paraId="0C811DA3">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从系统总体架构层面，规划生产现场、边缘侧与中心平台之间的数据流转关系，明确：</w:t>
      </w:r>
    </w:p>
    <w:p w14:paraId="2B5B6E42">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实时、准实时与非实时数据的分级处理原则；</w:t>
      </w:r>
    </w:p>
    <w:p w14:paraId="19F7DAEA">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边缘侧与中心平台在数据预处理、汇聚与分析中的职责分工；</w:t>
      </w:r>
    </w:p>
    <w:p w14:paraId="14C05FB5">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支撑高可靠、可扩展的数据传输与汇聚机制。</w:t>
      </w:r>
    </w:p>
    <w:p w14:paraId="51EA9CF2">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数据流转设计以稳定性与可扩展性为目标，不限定具体通信协议与技术实现方式。</w:t>
      </w:r>
    </w:p>
    <w:p w14:paraId="78A6F2D1">
      <w:pPr>
        <w:pStyle w:val="4"/>
        <w:bidi w:val="0"/>
        <w:rPr>
          <w:rFonts w:hint="default"/>
          <w:lang w:val="en-US" w:eastAsia="zh-CN"/>
        </w:rPr>
      </w:pPr>
      <w:r>
        <w:rPr>
          <w:rFonts w:hint="default"/>
          <w:lang w:val="en-US" w:eastAsia="zh-CN"/>
        </w:rPr>
        <w:t>6.3.2 数据存储与留存原则</w:t>
      </w:r>
    </w:p>
    <w:p w14:paraId="4209B5E0">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从规划设计层面提出数据存储策略与原则，包括但不限于：</w:t>
      </w:r>
    </w:p>
    <w:p w14:paraId="559FEFAE">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不同类型数据（过程数据、业务数据、分析数据、历史数据</w:t>
      </w:r>
      <w:r>
        <w:rPr>
          <w:rFonts w:hint="eastAsia" w:ascii="宋体" w:hAnsi="宋体" w:eastAsia="宋体" w:cs="宋体"/>
          <w:b w:val="0"/>
          <w:bCs w:val="0"/>
          <w:kern w:val="0"/>
          <w:sz w:val="24"/>
          <w:szCs w:val="24"/>
          <w:lang w:val="en-US" w:eastAsia="zh-CN" w:bidi="ar"/>
        </w:rPr>
        <w:t>等</w:t>
      </w:r>
      <w:r>
        <w:rPr>
          <w:rFonts w:hint="default" w:ascii="宋体" w:hAnsi="宋体" w:eastAsia="宋体" w:cs="宋体"/>
          <w:b w:val="0"/>
          <w:bCs w:val="0"/>
          <w:kern w:val="0"/>
          <w:sz w:val="24"/>
          <w:szCs w:val="24"/>
          <w:lang w:val="en-US" w:eastAsia="zh-CN" w:bidi="ar"/>
        </w:rPr>
        <w:t>）的分层存储思路；</w:t>
      </w:r>
    </w:p>
    <w:p w14:paraId="1CB6CCDA">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热数据与冷数据分级管理原则；</w:t>
      </w:r>
    </w:p>
    <w:p w14:paraId="4356BAF0">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数据留存期限满足国家法规、行业规范及集团管理要求。</w:t>
      </w:r>
    </w:p>
    <w:p w14:paraId="4A399DB8">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具体存储技术选型与容量规划由后续实施阶段结合实际情况确定。</w:t>
      </w:r>
    </w:p>
    <w:p w14:paraId="402E2A42">
      <w:pPr>
        <w:pStyle w:val="3"/>
        <w:rPr>
          <w:rFonts w:hint="default" w:ascii="宋体" w:hAnsi="宋体" w:eastAsia="宋体" w:cs="宋体"/>
          <w:sz w:val="30"/>
          <w:szCs w:val="30"/>
          <w:lang w:val="en-US" w:eastAsia="zh-CN"/>
        </w:rPr>
      </w:pPr>
      <w:bookmarkStart w:id="120" w:name="_Toc12920"/>
      <w:bookmarkStart w:id="121" w:name="_Toc18273"/>
      <w:bookmarkStart w:id="122" w:name="_Toc30135"/>
      <w:bookmarkStart w:id="123" w:name="_Toc21759"/>
      <w:r>
        <w:rPr>
          <w:rFonts w:hint="default" w:ascii="宋体" w:hAnsi="宋体" w:eastAsia="宋体" w:cs="宋体"/>
          <w:sz w:val="30"/>
          <w:szCs w:val="30"/>
          <w:lang w:val="en-US" w:eastAsia="zh-CN"/>
        </w:rPr>
        <w:t>6.4 数据分析与数据服务能力要求</w:t>
      </w:r>
      <w:bookmarkEnd w:id="120"/>
      <w:bookmarkEnd w:id="121"/>
      <w:bookmarkEnd w:id="122"/>
      <w:bookmarkEnd w:id="123"/>
    </w:p>
    <w:p w14:paraId="03DEF0B7">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数据架构设计应支撑多层级、多角色的数据分析与应用需求，包括但不限于：</w:t>
      </w:r>
    </w:p>
    <w:p w14:paraId="09FED0DC">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支持面向管理层、业务人员的一体化分析与可视化能力；</w:t>
      </w:r>
    </w:p>
    <w:p w14:paraId="317F8FD2">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支持跨系统、跨业务主题的数据融合分析；</w:t>
      </w:r>
    </w:p>
    <w:p w14:paraId="394CA1BB">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default" w:ascii="宋体" w:hAnsi="宋体" w:eastAsia="宋体" w:cs="宋体"/>
          <w:b w:val="0"/>
          <w:bCs w:val="0"/>
          <w:kern w:val="0"/>
          <w:sz w:val="24"/>
          <w:szCs w:val="24"/>
          <w:lang w:val="en-US" w:eastAsia="zh-CN" w:bidi="ar"/>
        </w:rPr>
        <w:t>支持与智能分析、算法模型及AI应用的解耦集成能力。</w:t>
      </w:r>
    </w:p>
    <w:p w14:paraId="5C8D0389">
      <w:pPr>
        <w:widowControl w:val="0"/>
        <w:numPr>
          <w:ilvl w:val="0"/>
          <w:numId w:val="14"/>
        </w:numPr>
        <w:spacing w:line="360" w:lineRule="auto"/>
        <w:ind w:left="1260" w:leftChars="0" w:hanging="420" w:firstLineChars="0"/>
        <w:jc w:val="left"/>
        <w:rPr>
          <w:rFonts w:hint="default" w:ascii="宋体" w:hAnsi="宋体" w:eastAsia="宋体" w:cs="宋体"/>
          <w:b w:val="0"/>
          <w:bCs w:val="0"/>
          <w:kern w:val="0"/>
          <w:sz w:val="24"/>
          <w:szCs w:val="24"/>
          <w:lang w:val="en-US" w:eastAsia="zh-CN" w:bidi="ar"/>
        </w:rPr>
      </w:pPr>
      <w:r>
        <w:rPr>
          <w:rFonts w:hint="eastAsia" w:ascii="宋体" w:hAnsi="宋体" w:eastAsia="宋体" w:cs="宋体"/>
          <w:kern w:val="0"/>
          <w:sz w:val="24"/>
          <w:lang w:val="en-US" w:eastAsia="zh-CN" w:bidi="ar"/>
        </w:rPr>
        <w:t>支持</w:t>
      </w:r>
      <w:r>
        <w:rPr>
          <w:rFonts w:hint="default" w:ascii="宋体" w:hAnsi="宋体" w:eastAsia="宋体" w:cs="宋体"/>
          <w:kern w:val="0"/>
          <w:sz w:val="24"/>
          <w:lang w:bidi="ar"/>
        </w:rPr>
        <w:t>通过自然语言提问方式获取数据查询、报表生成、趋势分析等服务</w:t>
      </w:r>
      <w:r>
        <w:rPr>
          <w:rFonts w:hint="eastAsia" w:ascii="宋体" w:hAnsi="宋体" w:eastAsia="宋体" w:cs="宋体"/>
          <w:kern w:val="0"/>
          <w:sz w:val="24"/>
          <w:lang w:eastAsia="zh-CN" w:bidi="ar"/>
        </w:rPr>
        <w:t>。</w:t>
      </w:r>
    </w:p>
    <w:p w14:paraId="13726877">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数据分析能力规划以“可扩展、可复用、可演进”为原则，不对具体分析模型、算法实现作出限定。</w:t>
      </w:r>
    </w:p>
    <w:p w14:paraId="411DE8FB">
      <w:pPr>
        <w:pStyle w:val="2"/>
        <w:keepNext/>
        <w:keepLines/>
        <w:widowControl w:val="0"/>
        <w:numPr>
          <w:ilvl w:val="0"/>
          <w:numId w:val="0"/>
        </w:numPr>
        <w:spacing w:line="240" w:lineRule="auto"/>
        <w:ind w:leftChars="0"/>
        <w:rPr>
          <w:rFonts w:hint="eastAsia" w:ascii="宋体" w:hAnsi="宋体" w:eastAsia="宋体" w:cs="宋体"/>
          <w:b/>
          <w:bCs/>
          <w:sz w:val="32"/>
          <w:szCs w:val="32"/>
        </w:rPr>
      </w:pPr>
      <w:bookmarkStart w:id="124" w:name="_Toc29266"/>
      <w:bookmarkStart w:id="125" w:name="_Toc7366"/>
      <w:bookmarkStart w:id="126" w:name="_Toc19119"/>
      <w:bookmarkStart w:id="127" w:name="_Toc5323"/>
      <w:bookmarkStart w:id="128" w:name="_Toc18189"/>
      <w:bookmarkStart w:id="129" w:name="_Toc18766"/>
      <w:bookmarkStart w:id="130" w:name="_Toc15263"/>
      <w:r>
        <w:rPr>
          <w:rFonts w:hint="eastAsia" w:ascii="宋体" w:hAnsi="宋体" w:eastAsia="宋体" w:cs="宋体"/>
          <w:b/>
          <w:bCs/>
          <w:sz w:val="32"/>
          <w:szCs w:val="32"/>
          <w:lang w:val="en-US" w:eastAsia="zh-CN"/>
        </w:rPr>
        <w:t>七、</w:t>
      </w:r>
      <w:r>
        <w:rPr>
          <w:rFonts w:hint="eastAsia" w:ascii="宋体" w:hAnsi="宋体" w:eastAsia="宋体" w:cs="宋体"/>
          <w:b/>
          <w:bCs/>
          <w:sz w:val="32"/>
          <w:szCs w:val="32"/>
        </w:rPr>
        <w:t>安全</w:t>
      </w:r>
      <w:r>
        <w:rPr>
          <w:rFonts w:hint="eastAsia" w:ascii="宋体" w:hAnsi="宋体" w:eastAsia="宋体" w:cs="宋体"/>
          <w:b/>
          <w:bCs/>
          <w:sz w:val="32"/>
          <w:szCs w:val="32"/>
          <w:lang w:eastAsia="zh-CN"/>
        </w:rPr>
        <w:t>、</w:t>
      </w:r>
      <w:r>
        <w:rPr>
          <w:rFonts w:hint="eastAsia" w:ascii="宋体" w:hAnsi="宋体" w:eastAsia="宋体" w:cs="宋体"/>
          <w:b/>
          <w:bCs/>
          <w:sz w:val="32"/>
          <w:szCs w:val="32"/>
        </w:rPr>
        <w:t>合规</w:t>
      </w:r>
      <w:r>
        <w:rPr>
          <w:rFonts w:hint="eastAsia" w:ascii="宋体" w:hAnsi="宋体" w:eastAsia="宋体" w:cs="宋体"/>
          <w:b/>
          <w:bCs/>
          <w:sz w:val="32"/>
          <w:szCs w:val="32"/>
          <w:lang w:val="en-US" w:eastAsia="zh-CN"/>
        </w:rPr>
        <w:t>与监管对接</w:t>
      </w:r>
      <w:r>
        <w:rPr>
          <w:rFonts w:hint="eastAsia" w:ascii="宋体" w:hAnsi="宋体" w:eastAsia="宋体" w:cs="宋体"/>
          <w:b/>
          <w:bCs/>
          <w:sz w:val="32"/>
          <w:szCs w:val="32"/>
        </w:rPr>
        <w:t>设计要求</w:t>
      </w:r>
      <w:bookmarkEnd w:id="124"/>
      <w:bookmarkEnd w:id="125"/>
      <w:bookmarkEnd w:id="126"/>
      <w:bookmarkEnd w:id="127"/>
      <w:bookmarkEnd w:id="128"/>
      <w:bookmarkEnd w:id="129"/>
      <w:bookmarkEnd w:id="130"/>
    </w:p>
    <w:p w14:paraId="74694360">
      <w:pPr>
        <w:pStyle w:val="3"/>
        <w:rPr>
          <w:rFonts w:hint="eastAsia" w:ascii="宋体" w:hAnsi="宋体" w:eastAsia="宋体" w:cs="宋体"/>
          <w:sz w:val="30"/>
          <w:szCs w:val="30"/>
          <w:lang w:val="en-US" w:eastAsia="zh-CN"/>
        </w:rPr>
      </w:pPr>
      <w:bookmarkStart w:id="131" w:name="_Toc3133"/>
      <w:bookmarkStart w:id="132" w:name="_Toc32400"/>
      <w:bookmarkStart w:id="133" w:name="_Toc5675"/>
      <w:bookmarkStart w:id="134" w:name="_Toc29558"/>
      <w:r>
        <w:rPr>
          <w:rFonts w:hint="eastAsia" w:ascii="宋体" w:hAnsi="宋体" w:eastAsia="宋体" w:cs="宋体"/>
          <w:sz w:val="30"/>
          <w:szCs w:val="30"/>
          <w:lang w:val="en-US" w:eastAsia="zh-CN"/>
        </w:rPr>
        <w:t>7.1 数据安全与系统安全设计原则</w:t>
      </w:r>
      <w:bookmarkEnd w:id="131"/>
      <w:bookmarkEnd w:id="132"/>
      <w:bookmarkEnd w:id="133"/>
      <w:bookmarkEnd w:id="134"/>
    </w:p>
    <w:p w14:paraId="2FAB6160">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从规划设计层面，构建覆盖集团级与厂区级的安全防护体系，遵循“分级防护、最小权限、全程可追溯”的原则，重点包括：</w:t>
      </w:r>
    </w:p>
    <w:p w14:paraId="4945F641">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数据分级分类保护：根据数据重要性与敏感程度，规划差异化的数据保护与访问控制策略；</w:t>
      </w:r>
    </w:p>
    <w:p w14:paraId="1F53F2B2">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访问与权限管理：规划基于角色与职责的数据访问授权体系，确保集团、厂区及业务角色权限边界清晰；</w:t>
      </w:r>
    </w:p>
    <w:p w14:paraId="0EB0DDE8">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操作审计与留痕：设计对关键数据访问、修改与操作行为的审计与日志留存机制，保障事后可追溯。</w:t>
      </w:r>
    </w:p>
    <w:p w14:paraId="4F53E376">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安全设计重点在于原则与体系规划，不涉及具体安全技术产品或实现方式。</w:t>
      </w:r>
    </w:p>
    <w:p w14:paraId="748F6983">
      <w:pPr>
        <w:pStyle w:val="3"/>
        <w:rPr>
          <w:rFonts w:hint="eastAsia" w:ascii="宋体" w:hAnsi="宋体" w:eastAsia="宋体" w:cs="宋体"/>
          <w:sz w:val="30"/>
          <w:szCs w:val="30"/>
          <w:lang w:val="en-US" w:eastAsia="zh-CN"/>
        </w:rPr>
      </w:pPr>
      <w:bookmarkStart w:id="135" w:name="_Toc18736"/>
      <w:bookmarkStart w:id="136" w:name="_Toc32765"/>
      <w:bookmarkStart w:id="137" w:name="_Toc8423"/>
      <w:bookmarkStart w:id="138" w:name="_Toc9757"/>
      <w:r>
        <w:rPr>
          <w:rFonts w:hint="eastAsia" w:ascii="宋体" w:hAnsi="宋体" w:eastAsia="宋体" w:cs="宋体"/>
          <w:sz w:val="30"/>
          <w:szCs w:val="30"/>
          <w:lang w:val="en-US" w:eastAsia="zh-CN"/>
        </w:rPr>
        <w:t>7.2 系统合规与监管对接要求</w:t>
      </w:r>
      <w:bookmarkEnd w:id="135"/>
      <w:bookmarkEnd w:id="136"/>
      <w:bookmarkEnd w:id="137"/>
      <w:bookmarkEnd w:id="138"/>
    </w:p>
    <w:p w14:paraId="7FA5F740">
      <w:pPr>
        <w:pStyle w:val="4"/>
        <w:bidi w:val="0"/>
        <w:rPr>
          <w:rFonts w:hint="eastAsia"/>
          <w:lang w:val="en-US" w:eastAsia="zh-CN"/>
        </w:rPr>
      </w:pPr>
      <w:r>
        <w:rPr>
          <w:rFonts w:hint="eastAsia"/>
          <w:lang w:val="en-US" w:eastAsia="zh-CN"/>
        </w:rPr>
        <w:t>7.2.1 环保与行业合规设计</w:t>
      </w:r>
    </w:p>
    <w:p w14:paraId="551417D5">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系统总体设计应充分考虑环保与行业监管要求，规划支持以下能力：</w:t>
      </w:r>
    </w:p>
    <w:p w14:paraId="0781AB68">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对接地方及行业环保监管平台的数据接口能力；</w:t>
      </w:r>
    </w:p>
    <w:p w14:paraId="06853B42">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支持废水、废气、固废等相关监测数据的合规采集、汇总与报送；</w:t>
      </w:r>
    </w:p>
    <w:p w14:paraId="1E0B6DDE">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支持环保报表、统计报送及监管检查所需数据的规范化输出。</w:t>
      </w:r>
    </w:p>
    <w:p w14:paraId="69D5F5AA">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合规对接设计应具备适应政策变化与监管要求调整的扩展能力。</w:t>
      </w:r>
    </w:p>
    <w:p w14:paraId="084390FA">
      <w:pPr>
        <w:pStyle w:val="4"/>
        <w:bidi w:val="0"/>
        <w:rPr>
          <w:rFonts w:hint="eastAsia"/>
          <w:lang w:val="en-US" w:eastAsia="zh-CN"/>
        </w:rPr>
      </w:pPr>
      <w:r>
        <w:rPr>
          <w:rFonts w:hint="eastAsia"/>
          <w:lang w:val="en-US" w:eastAsia="zh-CN"/>
        </w:rPr>
        <w:t>7.2.2 审计与合规追溯能力</w:t>
      </w:r>
    </w:p>
    <w:p w14:paraId="637B47B3">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从集团治理与合规管理角度，规划完善的审计与追溯机制，包括但不限于：</w:t>
      </w:r>
    </w:p>
    <w:p w14:paraId="39C405A1">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关键业务数据、指标与报表的生成过程可追溯；</w:t>
      </w:r>
    </w:p>
    <w:p w14:paraId="360B34D4">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操作行为、配置变更及关键决策过程留痕；</w:t>
      </w:r>
    </w:p>
    <w:p w14:paraId="31849949">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支持内部审计、外部监管及第三方核查需求。</w:t>
      </w:r>
    </w:p>
    <w:p w14:paraId="3E45AC22">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通过审计与合规追溯能力设计，保障集团运营透明度与合规性。</w:t>
      </w:r>
    </w:p>
    <w:p w14:paraId="637C17E0">
      <w:pPr>
        <w:pStyle w:val="3"/>
        <w:rPr>
          <w:rFonts w:hint="eastAsia" w:ascii="宋体" w:hAnsi="宋体" w:eastAsia="宋体" w:cs="宋体"/>
          <w:sz w:val="30"/>
          <w:szCs w:val="30"/>
          <w:lang w:val="en-US" w:eastAsia="zh-CN"/>
        </w:rPr>
      </w:pPr>
      <w:bookmarkStart w:id="139" w:name="_Toc21340"/>
      <w:bookmarkStart w:id="140" w:name="_Toc17479"/>
      <w:bookmarkStart w:id="141" w:name="_Toc1859"/>
      <w:bookmarkStart w:id="142" w:name="_Toc10975"/>
      <w:r>
        <w:rPr>
          <w:rFonts w:hint="eastAsia" w:ascii="宋体" w:hAnsi="宋体" w:eastAsia="宋体" w:cs="宋体"/>
          <w:sz w:val="30"/>
          <w:szCs w:val="30"/>
          <w:lang w:val="en-US" w:eastAsia="zh-CN"/>
        </w:rPr>
        <w:t>7.3 安全与合规设计边界说明</w:t>
      </w:r>
      <w:bookmarkEnd w:id="139"/>
      <w:bookmarkEnd w:id="140"/>
      <w:bookmarkEnd w:id="141"/>
      <w:bookmarkEnd w:id="142"/>
    </w:p>
    <w:p w14:paraId="1DD464F1">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本章节所述安全、合规与监管对接要求，均从数智化系统规划与设计角度提出，用于明确设计原则与能力边界，不构成对具体安全技术、产品选型或实施效果的承诺。相关技术实现与部署方案应在后续实施阶段结合实际情况确定。</w:t>
      </w:r>
    </w:p>
    <w:p w14:paraId="76989299">
      <w:pPr>
        <w:pStyle w:val="2"/>
        <w:keepNext/>
        <w:keepLines/>
        <w:widowControl w:val="0"/>
        <w:numPr>
          <w:ilvl w:val="0"/>
          <w:numId w:val="0"/>
        </w:numPr>
        <w:spacing w:line="240" w:lineRule="auto"/>
        <w:rPr>
          <w:rFonts w:hint="eastAsia" w:ascii="宋体" w:hAnsi="宋体" w:eastAsia="宋体" w:cs="宋体"/>
          <w:bCs/>
          <w:sz w:val="32"/>
          <w:szCs w:val="32"/>
          <w:lang w:val="en-US" w:eastAsia="zh-CN"/>
        </w:rPr>
      </w:pPr>
      <w:bookmarkStart w:id="143" w:name="_Toc32492"/>
      <w:bookmarkStart w:id="144" w:name="_Toc32181"/>
      <w:bookmarkStart w:id="145" w:name="_Toc9960"/>
      <w:bookmarkStart w:id="146" w:name="_Toc14754"/>
      <w:bookmarkStart w:id="147" w:name="_Toc13651"/>
      <w:bookmarkStart w:id="148" w:name="_Toc2384"/>
      <w:bookmarkStart w:id="149" w:name="_Toc24860"/>
      <w:r>
        <w:rPr>
          <w:rFonts w:hint="eastAsia" w:ascii="宋体" w:hAnsi="宋体" w:eastAsia="宋体" w:cs="宋体"/>
          <w:bCs/>
          <w:sz w:val="32"/>
          <w:szCs w:val="32"/>
          <w:lang w:val="en-US" w:eastAsia="zh-CN"/>
        </w:rPr>
        <w:t>八、投标要求</w:t>
      </w:r>
      <w:bookmarkEnd w:id="143"/>
      <w:bookmarkEnd w:id="144"/>
      <w:bookmarkEnd w:id="145"/>
      <w:bookmarkEnd w:id="146"/>
      <w:bookmarkEnd w:id="147"/>
      <w:bookmarkEnd w:id="148"/>
      <w:bookmarkEnd w:id="149"/>
    </w:p>
    <w:p w14:paraId="34047549">
      <w:pPr>
        <w:widowControl w:val="0"/>
        <w:numPr>
          <w:ilvl w:val="0"/>
          <w:numId w:val="0"/>
        </w:numPr>
        <w:jc w:val="both"/>
        <w:rPr>
          <w:rFonts w:hint="eastAsia"/>
          <w:lang w:val="en-US" w:eastAsia="zh-CN"/>
        </w:rPr>
      </w:pPr>
    </w:p>
    <w:p w14:paraId="4B641B13">
      <w:pPr>
        <w:pStyle w:val="3"/>
        <w:rPr>
          <w:rFonts w:hint="eastAsia" w:ascii="宋体" w:hAnsi="宋体" w:eastAsia="宋体" w:cs="宋体"/>
          <w:sz w:val="30"/>
          <w:szCs w:val="30"/>
          <w:lang w:val="en-US" w:eastAsia="zh-CN"/>
        </w:rPr>
      </w:pPr>
      <w:bookmarkStart w:id="150" w:name="_Toc18782"/>
      <w:bookmarkStart w:id="151" w:name="_Toc5369"/>
      <w:bookmarkStart w:id="152" w:name="_Toc29288"/>
      <w:bookmarkStart w:id="153" w:name="_Toc857"/>
      <w:r>
        <w:rPr>
          <w:rFonts w:hint="eastAsia" w:ascii="宋体" w:hAnsi="宋体" w:eastAsia="宋体" w:cs="宋体"/>
          <w:sz w:val="30"/>
          <w:szCs w:val="30"/>
          <w:lang w:val="en-US" w:eastAsia="zh-CN"/>
        </w:rPr>
        <w:t>8.1 招标定位说明</w:t>
      </w:r>
      <w:bookmarkEnd w:id="150"/>
      <w:bookmarkEnd w:id="151"/>
      <w:bookmarkEnd w:id="152"/>
      <w:bookmarkEnd w:id="153"/>
    </w:p>
    <w:p w14:paraId="3B3F6D40">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本次招标为数智化工厂与集团平台的设计标招标，旨在引入具备系统规划能力、行业理解能力和架构设计能力的设计单位或厂商，为朗坤科技构建面向未来的数智化工厂与集团级一体化平台提供顶层设计与总体规划方案。</w:t>
      </w:r>
    </w:p>
    <w:p w14:paraId="34A9CB16">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本次招标成果定位为设计咨询类成果，重点关注整体架构设计、业务与技术融合路径、阶段性建设路线及方法论，不涉及具体产品采购、系统实施或性能交付承诺。</w:t>
      </w:r>
    </w:p>
    <w:p w14:paraId="2269B5BC">
      <w:pPr>
        <w:pStyle w:val="3"/>
        <w:rPr>
          <w:rFonts w:hint="eastAsia" w:ascii="宋体" w:hAnsi="宋体" w:eastAsia="宋体" w:cs="宋体"/>
          <w:sz w:val="30"/>
          <w:szCs w:val="30"/>
          <w:lang w:val="en-US" w:eastAsia="zh-CN"/>
        </w:rPr>
      </w:pPr>
      <w:bookmarkStart w:id="154" w:name="_Toc30781"/>
      <w:bookmarkStart w:id="155" w:name="_Toc23447"/>
      <w:bookmarkStart w:id="156" w:name="_Toc21120"/>
      <w:bookmarkStart w:id="157" w:name="_Toc23990"/>
      <w:r>
        <w:rPr>
          <w:rFonts w:hint="eastAsia" w:ascii="宋体" w:hAnsi="宋体" w:eastAsia="宋体" w:cs="宋体"/>
          <w:sz w:val="30"/>
          <w:szCs w:val="30"/>
          <w:lang w:val="en-US" w:eastAsia="zh-CN"/>
        </w:rPr>
        <w:t>8.2 投标文件总体要求</w:t>
      </w:r>
      <w:bookmarkEnd w:id="154"/>
      <w:bookmarkEnd w:id="155"/>
      <w:bookmarkEnd w:id="156"/>
      <w:bookmarkEnd w:id="157"/>
    </w:p>
    <w:p w14:paraId="1CC980AD">
      <w:pPr>
        <w:widowControl w:val="0"/>
        <w:spacing w:line="360" w:lineRule="auto"/>
        <w:ind w:left="0" w:leftChars="0" w:firstLine="720" w:firstLineChars="300"/>
        <w:jc w:val="left"/>
        <w:rPr>
          <w:rFonts w:hint="default"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投标文件应定位为"数智化工厂与集团平台总体设计方案"或"设计咨询报告"，或者两者的结合。</w:t>
      </w:r>
    </w:p>
    <w:p w14:paraId="09654CC8">
      <w:pPr>
        <w:rPr>
          <w:rFonts w:hint="default" w:ascii="宋体" w:hAnsi="宋体" w:eastAsia="宋体" w:cs="宋体"/>
          <w:sz w:val="24"/>
          <w:szCs w:val="24"/>
          <w:lang w:val="en-US" w:eastAsia="zh-CN"/>
        </w:rPr>
      </w:pPr>
    </w:p>
    <w:p w14:paraId="7023D4CF">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投标文件应重点体现投标方在以下方面的能力：</w:t>
      </w:r>
    </w:p>
    <w:p w14:paraId="48A7CB1A">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对朗坤科技业务模式、行业特点及发展目标的理解深度；</w:t>
      </w:r>
    </w:p>
    <w:p w14:paraId="555AE7C1">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对餐厨垃圾、厨余垃圾、生物柴油等业务场景的系统性认知；</w:t>
      </w:r>
    </w:p>
    <w:p w14:paraId="3261CFB9">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对数智化工厂与集团级平台建设路径的规划能力；</w:t>
      </w:r>
    </w:p>
    <w:p w14:paraId="1ED77485">
      <w:pPr>
        <w:widowControl w:val="0"/>
        <w:numPr>
          <w:ilvl w:val="0"/>
          <w:numId w:val="14"/>
        </w:numPr>
        <w:spacing w:line="360" w:lineRule="auto"/>
        <w:ind w:left="126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对关键技术方向、系统架构和数据体系的专业判断能力。</w:t>
      </w:r>
    </w:p>
    <w:p w14:paraId="3AADB6FA">
      <w:pPr>
        <w:widowControl w:val="0"/>
        <w:spacing w:line="360" w:lineRule="auto"/>
        <w:ind w:left="0" w:leftChars="0" w:firstLine="723" w:firstLineChars="300"/>
        <w:jc w:val="left"/>
        <w:rPr>
          <w:rFonts w:hint="eastAsia" w:ascii="宋体" w:hAnsi="宋体" w:eastAsia="宋体" w:cs="宋体"/>
          <w:b/>
          <w:bCs/>
          <w:kern w:val="2"/>
          <w:sz w:val="24"/>
          <w:szCs w:val="24"/>
          <w:lang w:val="en-US" w:eastAsia="zh-CN" w:bidi="ar-SA"/>
        </w:rPr>
      </w:pPr>
      <w:r>
        <w:rPr>
          <w:rFonts w:hint="eastAsia" w:ascii="宋体" w:hAnsi="宋体" w:eastAsia="宋体" w:cs="宋体"/>
          <w:b/>
          <w:bCs/>
          <w:kern w:val="0"/>
          <w:sz w:val="24"/>
          <w:szCs w:val="24"/>
          <w:lang w:val="en-US" w:eastAsia="zh-CN" w:bidi="ar"/>
        </w:rPr>
        <w:t>投标方案不应以具体产品功能说明或厂商解决方案推介为主要内容。</w:t>
      </w:r>
    </w:p>
    <w:p w14:paraId="3729F563">
      <w:pPr>
        <w:pStyle w:val="3"/>
        <w:rPr>
          <w:rFonts w:hint="eastAsia" w:ascii="宋体" w:hAnsi="宋体" w:eastAsia="宋体" w:cs="宋体"/>
          <w:sz w:val="30"/>
          <w:szCs w:val="30"/>
          <w:lang w:val="en-US" w:eastAsia="zh-CN"/>
        </w:rPr>
      </w:pPr>
      <w:bookmarkStart w:id="158" w:name="_Toc30802"/>
      <w:bookmarkStart w:id="159" w:name="_Toc18275"/>
      <w:bookmarkStart w:id="160" w:name="_Toc7482"/>
      <w:bookmarkStart w:id="161" w:name="_Toc24765"/>
      <w:r>
        <w:rPr>
          <w:rFonts w:hint="eastAsia" w:ascii="宋体" w:hAnsi="宋体" w:eastAsia="宋体" w:cs="宋体"/>
          <w:sz w:val="30"/>
          <w:szCs w:val="30"/>
          <w:lang w:val="en-US" w:eastAsia="zh-CN"/>
        </w:rPr>
        <w:t>8.3 设计内容与深度要求</w:t>
      </w:r>
      <w:bookmarkEnd w:id="158"/>
      <w:bookmarkEnd w:id="159"/>
      <w:bookmarkEnd w:id="160"/>
      <w:bookmarkEnd w:id="161"/>
    </w:p>
    <w:p w14:paraId="3A8C4F9E">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投标方应围绕本需求说明书所述内容，提交完整、系统的设计方案，设计成果应至少包括但不限于：</w:t>
      </w:r>
    </w:p>
    <w:p w14:paraId="368DFBEF">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项目现状调研与需求理解说明；</w:t>
      </w:r>
    </w:p>
    <w:p w14:paraId="79B313DA">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总体业务架构、技术架构与系统分层设计；</w:t>
      </w:r>
    </w:p>
    <w:p w14:paraId="3925B11A">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各主要业务领域与功能模块的设计思路与实现路径说明；</w:t>
      </w:r>
    </w:p>
    <w:p w14:paraId="10CBDD41">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数据架构、数据治理与指标体系设计思路；</w:t>
      </w:r>
    </w:p>
    <w:p w14:paraId="74FC436C">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数字孪生、智能分析与辅助决策能力的规划设计；</w:t>
      </w:r>
    </w:p>
    <w:p w14:paraId="320AE325">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分阶段建设路线图，明确设计成果如何支撑后续实施；</w:t>
      </w:r>
    </w:p>
    <w:p w14:paraId="584A9CDD">
      <w:pPr>
        <w:widowControl w:val="0"/>
        <w:numPr>
          <w:ilvl w:val="0"/>
          <w:numId w:val="15"/>
        </w:numPr>
        <w:spacing w:line="360" w:lineRule="auto"/>
        <w:ind w:left="845" w:leftChars="0" w:hanging="425"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风险识别与实施建议（从设计视角提出，以供后续实施招标参考）。</w:t>
      </w:r>
    </w:p>
    <w:p w14:paraId="6DB9EBE6">
      <w:pPr>
        <w:widowControl w:val="0"/>
        <w:spacing w:line="360" w:lineRule="auto"/>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设计方案应重点阐述“</w:t>
      </w:r>
      <w:r>
        <w:rPr>
          <w:rFonts w:hint="eastAsia" w:ascii="宋体" w:hAnsi="宋体" w:eastAsia="宋体" w:cs="宋体"/>
          <w:b/>
          <w:bCs/>
          <w:kern w:val="0"/>
          <w:sz w:val="24"/>
          <w:szCs w:val="24"/>
          <w:lang w:val="en-US" w:eastAsia="zh-CN" w:bidi="ar"/>
        </w:rPr>
        <w:t>怎么设计、为什么这样设计</w:t>
      </w:r>
      <w:r>
        <w:rPr>
          <w:rFonts w:hint="eastAsia" w:ascii="宋体" w:hAnsi="宋体" w:eastAsia="宋体" w:cs="宋体"/>
          <w:kern w:val="0"/>
          <w:sz w:val="24"/>
          <w:szCs w:val="24"/>
          <w:lang w:val="en-US" w:eastAsia="zh-CN" w:bidi="ar"/>
        </w:rPr>
        <w:t>”，而非“具体如何实施”。</w:t>
      </w:r>
    </w:p>
    <w:p w14:paraId="2926EC23">
      <w:pPr>
        <w:pStyle w:val="3"/>
        <w:rPr>
          <w:rFonts w:hint="eastAsia" w:ascii="宋体" w:hAnsi="宋体" w:eastAsia="宋体" w:cs="宋体"/>
          <w:sz w:val="30"/>
          <w:szCs w:val="30"/>
          <w:lang w:val="en-US" w:eastAsia="zh-CN"/>
        </w:rPr>
      </w:pPr>
      <w:bookmarkStart w:id="162" w:name="_Toc17155"/>
      <w:bookmarkStart w:id="163" w:name="_Toc27660"/>
      <w:bookmarkStart w:id="164" w:name="_Toc12"/>
      <w:bookmarkStart w:id="165" w:name="_Toc13139"/>
      <w:r>
        <w:rPr>
          <w:rFonts w:hint="eastAsia" w:ascii="宋体" w:hAnsi="宋体" w:eastAsia="宋体" w:cs="宋体"/>
          <w:sz w:val="30"/>
          <w:szCs w:val="30"/>
          <w:lang w:val="en-US" w:eastAsia="zh-CN"/>
        </w:rPr>
        <w:t>8.4 设计标与实施标边界说明</w:t>
      </w:r>
      <w:bookmarkEnd w:id="162"/>
      <w:bookmarkEnd w:id="163"/>
      <w:bookmarkEnd w:id="164"/>
      <w:bookmarkEnd w:id="165"/>
    </w:p>
    <w:p w14:paraId="6D94489B">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本项目为设计标招标，投标方案中所涉及的系统功能、技术路线、平台能力等内容，均为规划设计层面的研究与建议，不构成对具体系统功能实现效果、性能指标或产品选型的指定。</w:t>
      </w:r>
    </w:p>
    <w:p w14:paraId="4EADA107">
      <w:pPr>
        <w:widowControl w:val="0"/>
        <w:spacing w:line="360" w:lineRule="auto"/>
        <w:ind w:left="0" w:leftChars="0" w:firstLine="720" w:firstLineChars="30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具体系统建设方案、产品选型、实施方式及性能指标，将在后续技术方案招标或实施阶段另行明确。</w:t>
      </w:r>
    </w:p>
    <w:p w14:paraId="48F96574">
      <w:pPr>
        <w:pStyle w:val="3"/>
        <w:rPr>
          <w:rFonts w:hint="eastAsia" w:ascii="宋体" w:hAnsi="宋体" w:eastAsia="宋体" w:cs="宋体"/>
          <w:sz w:val="30"/>
          <w:szCs w:val="30"/>
          <w:lang w:val="en-US" w:eastAsia="zh-CN"/>
        </w:rPr>
      </w:pPr>
      <w:bookmarkStart w:id="166" w:name="_Toc13587"/>
      <w:bookmarkStart w:id="167" w:name="_Toc23916"/>
      <w:bookmarkStart w:id="168" w:name="_Toc26581"/>
      <w:bookmarkStart w:id="169" w:name="_Toc31459"/>
      <w:r>
        <w:rPr>
          <w:rFonts w:hint="eastAsia" w:ascii="宋体" w:hAnsi="宋体" w:eastAsia="宋体" w:cs="宋体"/>
          <w:sz w:val="30"/>
          <w:szCs w:val="30"/>
          <w:lang w:val="en-US" w:eastAsia="zh-CN"/>
        </w:rPr>
        <w:t>8.5 投标人资质与经验要求</w:t>
      </w:r>
      <w:bookmarkEnd w:id="166"/>
      <w:bookmarkEnd w:id="167"/>
      <w:bookmarkEnd w:id="168"/>
      <w:bookmarkEnd w:id="169"/>
    </w:p>
    <w:p w14:paraId="169EB063">
      <w:pPr>
        <w:widowControl w:val="0"/>
        <w:spacing w:line="360" w:lineRule="auto"/>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投标人应具备以下能力与经验：</w:t>
      </w:r>
    </w:p>
    <w:p w14:paraId="394E3723">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具备大型智慧工厂、工业互联网或集团级数智化平台的规划设计经验；</w:t>
      </w:r>
    </w:p>
    <w:p w14:paraId="7C4F2911">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kern w:val="0"/>
          <w:sz w:val="24"/>
          <w:lang w:bidi="ar"/>
        </w:rPr>
        <w:t>具备工业领域大模型平台、知识图谱、智能问答系统的规划设计或实施经验，能提供相关案例说明</w:t>
      </w:r>
      <w:r>
        <w:rPr>
          <w:rFonts w:hint="eastAsia" w:ascii="宋体" w:hAnsi="宋体" w:eastAsia="宋体" w:cs="宋体"/>
          <w:kern w:val="0"/>
          <w:sz w:val="24"/>
          <w:lang w:eastAsia="zh-CN" w:bidi="ar"/>
        </w:rPr>
        <w:t>；</w:t>
      </w:r>
    </w:p>
    <w:p w14:paraId="3B1E553E">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熟悉工业生产场景，具备流程工业或资源化利用相关项目经验者优先；</w:t>
      </w:r>
    </w:p>
    <w:p w14:paraId="438B1BE8">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具备跨业务、跨系统、跨层级的系统设计与整合能力；</w:t>
      </w:r>
    </w:p>
    <w:p w14:paraId="17B65D0B">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能够提供相关设计或咨询类项目案例作为支撑材料。</w:t>
      </w:r>
    </w:p>
    <w:p w14:paraId="10EDF70E">
      <w:pPr>
        <w:widowControl w:val="0"/>
        <w:numPr>
          <w:ilvl w:val="0"/>
          <w:numId w:val="16"/>
        </w:numPr>
        <w:spacing w:line="360" w:lineRule="auto"/>
        <w:ind w:left="420" w:leftChars="0" w:hanging="420" w:firstLineChars="0"/>
        <w:jc w:val="left"/>
        <w:rPr>
          <w:rFonts w:hint="eastAsia" w:ascii="宋体" w:hAnsi="宋体" w:eastAsia="宋体" w:cs="宋体"/>
          <w:b w:val="0"/>
          <w:bCs w:val="0"/>
          <w:kern w:val="0"/>
          <w:sz w:val="24"/>
          <w:szCs w:val="24"/>
          <w:lang w:val="en-US" w:eastAsia="zh-CN" w:bidi="ar"/>
        </w:rPr>
      </w:pPr>
      <w:r>
        <w:rPr>
          <w:rFonts w:hint="eastAsia" w:ascii="宋体" w:hAnsi="宋体" w:eastAsia="宋体" w:cs="宋体"/>
          <w:b w:val="0"/>
          <w:bCs w:val="0"/>
          <w:kern w:val="0"/>
          <w:sz w:val="24"/>
          <w:szCs w:val="24"/>
          <w:lang w:val="en-US" w:eastAsia="zh-CN" w:bidi="ar"/>
        </w:rPr>
        <w:t>有设计咨询合同金额超过100万业绩，提供合同复印件。</w:t>
      </w:r>
    </w:p>
    <w:p w14:paraId="61D9CCE8">
      <w:pPr>
        <w:pStyle w:val="2"/>
        <w:keepNext/>
        <w:keepLines/>
        <w:widowControl w:val="0"/>
        <w:numPr>
          <w:ilvl w:val="0"/>
          <w:numId w:val="0"/>
        </w:numPr>
        <w:spacing w:line="240" w:lineRule="auto"/>
        <w:ind w:left="0" w:leftChars="0" w:firstLine="0" w:firstLineChars="0"/>
        <w:rPr>
          <w:rFonts w:hint="eastAsia" w:ascii="宋体" w:hAnsi="宋体" w:eastAsia="宋体" w:cs="宋体"/>
          <w:b/>
          <w:bCs/>
          <w:sz w:val="32"/>
          <w:szCs w:val="32"/>
          <w:lang w:val="en-US" w:eastAsia="zh-CN"/>
        </w:rPr>
      </w:pPr>
      <w:bookmarkStart w:id="170" w:name="_Toc10605"/>
      <w:bookmarkStart w:id="171" w:name="_Toc32381"/>
      <w:bookmarkStart w:id="172" w:name="_Toc27734"/>
      <w:bookmarkStart w:id="173" w:name="_Toc17260"/>
      <w:r>
        <w:rPr>
          <w:rFonts w:hint="eastAsia" w:ascii="宋体" w:hAnsi="宋体" w:eastAsia="宋体" w:cs="宋体"/>
          <w:b/>
          <w:bCs/>
          <w:sz w:val="32"/>
          <w:szCs w:val="32"/>
          <w:lang w:val="en-US" w:eastAsia="zh-CN"/>
        </w:rPr>
        <w:t>九、设计成果验收与评审标准</w:t>
      </w:r>
      <w:bookmarkEnd w:id="170"/>
      <w:bookmarkEnd w:id="171"/>
      <w:bookmarkEnd w:id="172"/>
      <w:bookmarkEnd w:id="173"/>
    </w:p>
    <w:p w14:paraId="7BDBF05A">
      <w:pPr>
        <w:pStyle w:val="3"/>
        <w:rPr>
          <w:rFonts w:hint="default" w:ascii="宋体" w:hAnsi="宋体" w:eastAsia="宋体" w:cs="宋体"/>
          <w:sz w:val="30"/>
          <w:szCs w:val="30"/>
          <w:lang w:val="en-US" w:eastAsia="zh-CN"/>
        </w:rPr>
      </w:pPr>
      <w:bookmarkStart w:id="174" w:name="_Toc21287"/>
      <w:bookmarkStart w:id="175" w:name="_Toc7477"/>
      <w:bookmarkStart w:id="176" w:name="_Toc15545"/>
      <w:bookmarkStart w:id="177" w:name="_Toc22723"/>
      <w:r>
        <w:rPr>
          <w:rFonts w:hint="default" w:ascii="宋体" w:hAnsi="宋体" w:eastAsia="宋体" w:cs="宋体"/>
          <w:sz w:val="30"/>
          <w:szCs w:val="30"/>
          <w:lang w:val="en-US" w:eastAsia="zh-CN"/>
        </w:rPr>
        <w:t>9.1 验收总体原则</w:t>
      </w:r>
      <w:bookmarkEnd w:id="174"/>
      <w:bookmarkEnd w:id="175"/>
      <w:bookmarkEnd w:id="176"/>
      <w:bookmarkEnd w:id="177"/>
    </w:p>
    <w:p w14:paraId="75410ABA">
      <w:pPr>
        <w:widowControl w:val="0"/>
        <w:spacing w:line="360" w:lineRule="auto"/>
        <w:ind w:leftChars="0" w:firstLine="480" w:firstLineChars="2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本项目验收对象为设计成果，验收以方案评审方式进行，不涉及系统上线、功能测试或运行效果验收。</w:t>
      </w:r>
    </w:p>
    <w:p w14:paraId="1A9A5903">
      <w:pPr>
        <w:widowControl w:val="0"/>
        <w:spacing w:line="360" w:lineRule="auto"/>
        <w:ind w:leftChars="0" w:firstLine="480" w:firstLineChars="2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设计成果应通过朗坤科技</w:t>
      </w:r>
      <w:r>
        <w:rPr>
          <w:rFonts w:hint="eastAsia" w:ascii="宋体" w:hAnsi="宋体" w:eastAsia="宋体" w:cs="宋体"/>
          <w:kern w:val="0"/>
          <w:sz w:val="24"/>
          <w:szCs w:val="24"/>
          <w:lang w:val="en-US" w:eastAsia="zh-CN" w:bidi="ar"/>
        </w:rPr>
        <w:t>集团</w:t>
      </w:r>
      <w:r>
        <w:rPr>
          <w:rFonts w:hint="default" w:ascii="宋体" w:hAnsi="宋体" w:eastAsia="宋体" w:cs="宋体"/>
          <w:kern w:val="0"/>
          <w:sz w:val="24"/>
          <w:szCs w:val="24"/>
          <w:lang w:val="en-US" w:eastAsia="zh-CN" w:bidi="ar"/>
        </w:rPr>
        <w:t>组织的业务、技术及管理相关部门的联合评审。</w:t>
      </w:r>
    </w:p>
    <w:p w14:paraId="6C936506">
      <w:pPr>
        <w:pStyle w:val="3"/>
        <w:rPr>
          <w:rFonts w:hint="default" w:ascii="宋体" w:hAnsi="宋体" w:eastAsia="宋体" w:cs="宋体"/>
          <w:sz w:val="30"/>
          <w:szCs w:val="30"/>
          <w:lang w:val="en-US" w:eastAsia="zh-CN"/>
        </w:rPr>
      </w:pPr>
      <w:bookmarkStart w:id="178" w:name="_Toc29129"/>
      <w:bookmarkStart w:id="179" w:name="_Toc10770"/>
      <w:bookmarkStart w:id="180" w:name="_Toc31332"/>
      <w:bookmarkStart w:id="181" w:name="_Toc29298"/>
      <w:r>
        <w:rPr>
          <w:rFonts w:hint="default" w:ascii="宋体" w:hAnsi="宋体" w:eastAsia="宋体" w:cs="宋体"/>
          <w:sz w:val="30"/>
          <w:szCs w:val="30"/>
          <w:lang w:val="en-US" w:eastAsia="zh-CN"/>
        </w:rPr>
        <w:t>9.2 设计成果验收标准</w:t>
      </w:r>
      <w:bookmarkEnd w:id="178"/>
      <w:bookmarkEnd w:id="179"/>
      <w:bookmarkEnd w:id="180"/>
      <w:bookmarkEnd w:id="181"/>
    </w:p>
    <w:p w14:paraId="6679EA8A">
      <w:pPr>
        <w:widowControl w:val="0"/>
        <w:spacing w:line="360" w:lineRule="auto"/>
        <w:ind w:leftChars="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设计成果评审将重点从以下维度进行：</w:t>
      </w:r>
    </w:p>
    <w:p w14:paraId="750451A9">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0" w:firstLineChars="0"/>
        <w:jc w:val="left"/>
        <w:textAlignment w:val="auto"/>
        <w:rPr>
          <w:rFonts w:hint="default" w:ascii="宋体" w:hAnsi="宋体" w:eastAsia="宋体" w:cs="宋体"/>
          <w:b/>
          <w:bCs/>
          <w:kern w:val="0"/>
          <w:sz w:val="24"/>
          <w:szCs w:val="24"/>
          <w:lang w:val="en-US" w:eastAsia="zh-CN" w:bidi="ar-SA"/>
        </w:rPr>
      </w:pPr>
      <w:r>
        <w:rPr>
          <w:rFonts w:hint="default" w:ascii="宋体" w:hAnsi="宋体" w:eastAsia="宋体" w:cs="宋体"/>
          <w:b/>
          <w:bCs/>
          <w:kern w:val="0"/>
          <w:sz w:val="24"/>
          <w:szCs w:val="24"/>
          <w:lang w:val="en-US" w:eastAsia="zh-CN" w:bidi="ar-SA"/>
        </w:rPr>
        <w:t>（1）完整性</w:t>
      </w:r>
    </w:p>
    <w:p w14:paraId="127A0B03">
      <w:pPr>
        <w:widowControl w:val="0"/>
        <w:spacing w:line="360" w:lineRule="auto"/>
        <w:ind w:firstLine="480" w:firstLineChars="2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设计方案应完整覆盖本需求说明书中提出的设计范围、核心业务场景及主要功能模块，逻辑清晰、结构完整，能够形成可执行的总体设计蓝图。</w:t>
      </w:r>
    </w:p>
    <w:p w14:paraId="1FF4CB3A">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0" w:firstLineChars="0"/>
        <w:jc w:val="left"/>
        <w:textAlignment w:val="auto"/>
        <w:rPr>
          <w:rFonts w:hint="default" w:ascii="宋体" w:hAnsi="宋体" w:eastAsia="宋体" w:cs="宋体"/>
          <w:b/>
          <w:bCs/>
          <w:kern w:val="0"/>
          <w:sz w:val="24"/>
          <w:szCs w:val="24"/>
          <w:lang w:val="en-US" w:eastAsia="zh-CN" w:bidi="ar-SA"/>
        </w:rPr>
      </w:pPr>
      <w:r>
        <w:rPr>
          <w:rFonts w:hint="default" w:ascii="宋体" w:hAnsi="宋体" w:eastAsia="宋体" w:cs="宋体"/>
          <w:b/>
          <w:bCs/>
          <w:kern w:val="0"/>
          <w:sz w:val="24"/>
          <w:szCs w:val="24"/>
          <w:lang w:val="en-US" w:eastAsia="zh-CN" w:bidi="ar-SA"/>
        </w:rPr>
        <w:t>（2）前瞻性与扩展性</w:t>
      </w:r>
    </w:p>
    <w:p w14:paraId="7ED45309">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总体架构与设计思路应体现先进性与开放性，能够支撑朗坤科技中长期（5年以上）业务发展及技术演进需求，具备良好的扩展空间与演进路径。</w:t>
      </w:r>
    </w:p>
    <w:p w14:paraId="4DF0D0B3">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0" w:firstLineChars="0"/>
        <w:jc w:val="left"/>
        <w:textAlignment w:val="auto"/>
        <w:rPr>
          <w:rFonts w:hint="default" w:ascii="宋体" w:hAnsi="宋体" w:eastAsia="宋体" w:cs="宋体"/>
          <w:b/>
          <w:bCs/>
          <w:kern w:val="0"/>
          <w:sz w:val="24"/>
          <w:szCs w:val="24"/>
          <w:lang w:val="en-US" w:eastAsia="zh-CN" w:bidi="ar-SA"/>
        </w:rPr>
      </w:pPr>
      <w:r>
        <w:rPr>
          <w:rFonts w:hint="default" w:ascii="宋体" w:hAnsi="宋体" w:eastAsia="宋体" w:cs="宋体"/>
          <w:b/>
          <w:bCs/>
          <w:kern w:val="0"/>
          <w:sz w:val="24"/>
          <w:szCs w:val="24"/>
          <w:lang w:val="en-US" w:eastAsia="zh-CN" w:bidi="ar-SA"/>
        </w:rPr>
        <w:t>（3）可行性与适配性</w:t>
      </w:r>
    </w:p>
    <w:p w14:paraId="64A68B0D">
      <w:pPr>
        <w:widowControl w:val="0"/>
        <w:spacing w:line="360" w:lineRule="auto"/>
        <w:ind w:left="0" w:leftChars="0" w:firstLine="720" w:firstLineChars="300"/>
        <w:jc w:val="left"/>
        <w:rPr>
          <w:rFonts w:hint="default" w:ascii="宋体" w:hAnsi="宋体" w:eastAsia="宋体" w:cs="宋体"/>
          <w:kern w:val="2"/>
          <w:sz w:val="24"/>
          <w:szCs w:val="24"/>
          <w:lang w:val="en-US" w:eastAsia="zh-CN" w:bidi="ar-SA"/>
        </w:rPr>
      </w:pPr>
      <w:r>
        <w:rPr>
          <w:rFonts w:hint="default" w:ascii="宋体" w:hAnsi="宋体" w:eastAsia="宋体" w:cs="宋体"/>
          <w:kern w:val="0"/>
          <w:sz w:val="24"/>
          <w:szCs w:val="24"/>
          <w:lang w:val="en-US" w:eastAsia="zh-CN" w:bidi="ar"/>
        </w:rPr>
        <w:t>设计方案应在技术上可行、在业务上适用，能够与现有生产系统、管理体系及组织能力相匹配，并通过业务部门、技术部门及必要的外部专家评审。</w:t>
      </w:r>
    </w:p>
    <w:p w14:paraId="6D23EBE0">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leftChars="0" w:firstLine="0" w:firstLineChars="0"/>
        <w:jc w:val="left"/>
        <w:textAlignment w:val="auto"/>
        <w:rPr>
          <w:rFonts w:hint="default" w:ascii="宋体" w:hAnsi="宋体" w:eastAsia="宋体" w:cs="宋体"/>
          <w:b/>
          <w:bCs/>
          <w:kern w:val="0"/>
          <w:sz w:val="24"/>
          <w:szCs w:val="24"/>
          <w:lang w:val="en-US" w:eastAsia="zh-CN" w:bidi="ar-SA"/>
        </w:rPr>
      </w:pPr>
      <w:r>
        <w:rPr>
          <w:rFonts w:hint="default" w:ascii="宋体" w:hAnsi="宋体" w:eastAsia="宋体" w:cs="宋体"/>
          <w:b/>
          <w:bCs/>
          <w:kern w:val="0"/>
          <w:sz w:val="24"/>
          <w:szCs w:val="24"/>
          <w:lang w:val="en-US" w:eastAsia="zh-CN" w:bidi="ar-SA"/>
        </w:rPr>
        <w:t>（4）标准化与规范性</w:t>
      </w:r>
    </w:p>
    <w:p w14:paraId="68B038CE">
      <w:pPr>
        <w:widowControl w:val="0"/>
        <w:spacing w:line="360" w:lineRule="auto"/>
        <w:ind w:left="0" w:leftChars="0" w:firstLine="720" w:firstLineChars="300"/>
        <w:jc w:val="left"/>
        <w:rPr>
          <w:rFonts w:hint="default"/>
          <w:lang w:val="en-US" w:eastAsia="zh-CN"/>
        </w:rPr>
      </w:pPr>
      <w:r>
        <w:rPr>
          <w:rFonts w:hint="default" w:ascii="宋体" w:hAnsi="宋体" w:eastAsia="宋体" w:cs="宋体"/>
          <w:kern w:val="0"/>
          <w:sz w:val="24"/>
          <w:szCs w:val="24"/>
          <w:lang w:val="en-US" w:eastAsia="zh-CN" w:bidi="ar"/>
        </w:rPr>
        <w:t>数据模型、指标体系、系统架构设计应符合国家及行业相关标准，并满足集团统一管理与数据治理要求。</w:t>
      </w:r>
    </w:p>
    <w:p w14:paraId="3F47CF50">
      <w:pPr>
        <w:pStyle w:val="2"/>
        <w:keepNext/>
        <w:keepLines/>
        <w:widowControl w:val="0"/>
        <w:spacing w:line="240" w:lineRule="auto"/>
        <w:rPr>
          <w:rFonts w:hint="eastAsia" w:ascii="宋体" w:hAnsi="宋体" w:eastAsia="宋体" w:cs="宋体"/>
          <w:sz w:val="32"/>
          <w:szCs w:val="32"/>
        </w:rPr>
      </w:pPr>
      <w:bookmarkStart w:id="182" w:name="_Toc17111"/>
      <w:bookmarkStart w:id="183" w:name="_Toc31425"/>
      <w:bookmarkStart w:id="184" w:name="_Toc25903"/>
      <w:bookmarkStart w:id="185" w:name="_Toc9495"/>
      <w:bookmarkStart w:id="186" w:name="_Toc18498"/>
      <w:bookmarkStart w:id="187" w:name="_Toc24622"/>
      <w:bookmarkStart w:id="188" w:name="_Toc11787"/>
      <w:r>
        <w:rPr>
          <w:rFonts w:hint="eastAsia" w:ascii="宋体" w:hAnsi="宋体" w:eastAsia="宋体" w:cs="宋体"/>
          <w:sz w:val="32"/>
          <w:szCs w:val="32"/>
          <w:lang w:val="en-US" w:eastAsia="zh-CN"/>
        </w:rPr>
        <w:t>十、</w:t>
      </w:r>
      <w:r>
        <w:rPr>
          <w:rFonts w:hint="eastAsia" w:ascii="宋体" w:hAnsi="宋体" w:eastAsia="宋体" w:cs="宋体"/>
          <w:sz w:val="32"/>
          <w:szCs w:val="32"/>
        </w:rPr>
        <w:t>其他要求</w:t>
      </w:r>
      <w:bookmarkEnd w:id="182"/>
      <w:bookmarkEnd w:id="183"/>
      <w:bookmarkEnd w:id="184"/>
      <w:bookmarkEnd w:id="185"/>
      <w:bookmarkEnd w:id="186"/>
      <w:bookmarkEnd w:id="187"/>
      <w:bookmarkEnd w:id="188"/>
    </w:p>
    <w:p w14:paraId="33D7196D">
      <w:pPr>
        <w:pStyle w:val="3"/>
        <w:rPr>
          <w:rFonts w:hint="eastAsia" w:ascii="宋体" w:hAnsi="宋体" w:eastAsia="宋体" w:cs="宋体"/>
          <w:sz w:val="30"/>
          <w:szCs w:val="30"/>
          <w:lang w:val="en-US" w:eastAsia="zh-CN"/>
        </w:rPr>
      </w:pPr>
      <w:bookmarkStart w:id="189" w:name="_Toc12488"/>
      <w:bookmarkStart w:id="190" w:name="_Toc21358"/>
      <w:bookmarkStart w:id="191" w:name="_Toc4368"/>
      <w:bookmarkStart w:id="192" w:name="_Toc7409"/>
      <w:r>
        <w:rPr>
          <w:rFonts w:hint="eastAsia" w:ascii="宋体" w:hAnsi="宋体" w:eastAsia="宋体" w:cs="宋体"/>
          <w:sz w:val="30"/>
          <w:szCs w:val="30"/>
          <w:lang w:val="en-US" w:eastAsia="zh-CN"/>
        </w:rPr>
        <w:t>10.1 项目周期要求</w:t>
      </w:r>
      <w:bookmarkEnd w:id="189"/>
      <w:bookmarkEnd w:id="190"/>
      <w:bookmarkEnd w:id="191"/>
      <w:bookmarkEnd w:id="192"/>
    </w:p>
    <w:p w14:paraId="433233CF">
      <w:pPr>
        <w:widowControl w:val="0"/>
        <w:spacing w:line="360" w:lineRule="auto"/>
        <w:ind w:left="0" w:left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中标方应在合同签订后 45 日内 完成设计方案编制，并提交完整设计成果，配合甲方完成评审工作。</w:t>
      </w:r>
    </w:p>
    <w:p w14:paraId="0FF058AF">
      <w:pPr>
        <w:pStyle w:val="3"/>
        <w:rPr>
          <w:rFonts w:hint="eastAsia" w:ascii="宋体" w:hAnsi="宋体" w:eastAsia="宋体" w:cs="宋体"/>
          <w:sz w:val="30"/>
          <w:szCs w:val="30"/>
          <w:lang w:val="en-US" w:eastAsia="zh-CN"/>
        </w:rPr>
      </w:pPr>
      <w:bookmarkStart w:id="193" w:name="_Toc16935"/>
      <w:bookmarkStart w:id="194" w:name="_Toc31938"/>
      <w:bookmarkStart w:id="195" w:name="_Toc10872"/>
      <w:bookmarkStart w:id="196" w:name="_Toc25994"/>
      <w:r>
        <w:rPr>
          <w:rFonts w:hint="eastAsia" w:ascii="宋体" w:hAnsi="宋体" w:eastAsia="宋体" w:cs="宋体"/>
          <w:sz w:val="30"/>
          <w:szCs w:val="30"/>
          <w:lang w:val="en-US" w:eastAsia="zh-CN"/>
        </w:rPr>
        <w:t>10.2 服务与沟通要求</w:t>
      </w:r>
      <w:bookmarkEnd w:id="193"/>
      <w:bookmarkEnd w:id="194"/>
      <w:bookmarkEnd w:id="195"/>
      <w:bookmarkEnd w:id="196"/>
    </w:p>
    <w:p w14:paraId="491CE4DA">
      <w:pPr>
        <w:widowControl w:val="0"/>
        <w:spacing w:line="360" w:lineRule="auto"/>
        <w:ind w:left="0" w:left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中标方在设计阶段需配合朗坤科技完成以下工作：</w:t>
      </w:r>
    </w:p>
    <w:p w14:paraId="17808259">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不少于 3 次设计方案汇报与交流；</w:t>
      </w:r>
    </w:p>
    <w:p w14:paraId="119DA4AA">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配合组织专家评审，并根据评审意见完成不少于 3 轮方案优化；</w:t>
      </w:r>
    </w:p>
    <w:p w14:paraId="4AE020E4">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提供必要的设计说明与答疑支持。</w:t>
      </w:r>
    </w:p>
    <w:p w14:paraId="00E71817">
      <w:pPr>
        <w:pStyle w:val="3"/>
        <w:rPr>
          <w:rFonts w:hint="eastAsia" w:ascii="宋体" w:hAnsi="宋体" w:eastAsia="宋体" w:cs="宋体"/>
          <w:sz w:val="30"/>
          <w:szCs w:val="30"/>
          <w:lang w:val="en-US" w:eastAsia="zh-CN"/>
        </w:rPr>
      </w:pPr>
      <w:bookmarkStart w:id="197" w:name="_Toc7807"/>
      <w:bookmarkStart w:id="198" w:name="_Toc10484"/>
      <w:bookmarkStart w:id="199" w:name="_Toc21177"/>
      <w:bookmarkStart w:id="200" w:name="_Toc20791"/>
      <w:r>
        <w:rPr>
          <w:rFonts w:hint="eastAsia" w:ascii="宋体" w:hAnsi="宋体" w:eastAsia="宋体" w:cs="宋体"/>
          <w:sz w:val="30"/>
          <w:szCs w:val="30"/>
          <w:lang w:val="en-US" w:eastAsia="zh-CN"/>
        </w:rPr>
        <w:t>10.3 知识产权与成果归属</w:t>
      </w:r>
      <w:bookmarkEnd w:id="197"/>
      <w:bookmarkEnd w:id="198"/>
      <w:bookmarkEnd w:id="199"/>
      <w:bookmarkEnd w:id="200"/>
    </w:p>
    <w:p w14:paraId="22EFEA36">
      <w:pPr>
        <w:widowControl w:val="0"/>
        <w:spacing w:line="360" w:lineRule="auto"/>
        <w:ind w:left="0" w:left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本项目设计成果的知识产权归朗坤科技所有。中标方应向甲方提供完整的设计交付物，包括但不限于：</w:t>
      </w:r>
    </w:p>
    <w:p w14:paraId="59B28BF5">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设计方案全文及相关技术文档；</w:t>
      </w:r>
    </w:p>
    <w:p w14:paraId="43D0670B">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关键设计思路、方法论与技术路线说明；</w:t>
      </w:r>
    </w:p>
    <w:p w14:paraId="67ABD70A">
      <w:pPr>
        <w:widowControl w:val="0"/>
        <w:numPr>
          <w:ilvl w:val="0"/>
          <w:numId w:val="17"/>
        </w:numPr>
        <w:spacing w:line="360" w:lineRule="auto"/>
        <w:ind w:left="420" w:leftChars="0" w:hanging="420" w:firstLine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所涉及第三方技术或方法的授权使用说明。</w:t>
      </w:r>
    </w:p>
    <w:p w14:paraId="54E965DE">
      <w:pPr>
        <w:pStyle w:val="3"/>
        <w:rPr>
          <w:rFonts w:hint="eastAsia" w:ascii="宋体" w:hAnsi="宋体" w:eastAsia="宋体" w:cs="宋体"/>
          <w:sz w:val="30"/>
          <w:szCs w:val="30"/>
          <w:lang w:val="en-US" w:eastAsia="zh-CN"/>
        </w:rPr>
      </w:pPr>
      <w:bookmarkStart w:id="201" w:name="_Toc4530"/>
      <w:bookmarkStart w:id="202" w:name="_Toc24230"/>
      <w:bookmarkStart w:id="203" w:name="_Toc5519"/>
      <w:bookmarkStart w:id="204" w:name="_Toc28245"/>
      <w:r>
        <w:rPr>
          <w:rFonts w:hint="eastAsia" w:ascii="宋体" w:hAnsi="宋体" w:eastAsia="宋体" w:cs="宋体"/>
          <w:sz w:val="30"/>
          <w:szCs w:val="30"/>
          <w:lang w:val="en-US" w:eastAsia="zh-CN"/>
        </w:rPr>
        <w:t>10.4 技术交底与后续支持说明</w:t>
      </w:r>
      <w:bookmarkEnd w:id="201"/>
      <w:bookmarkEnd w:id="202"/>
      <w:bookmarkEnd w:id="203"/>
      <w:bookmarkEnd w:id="204"/>
    </w:p>
    <w:p w14:paraId="763C8A6B">
      <w:pPr>
        <w:widowControl w:val="0"/>
        <w:spacing w:line="360" w:lineRule="auto"/>
        <w:ind w:left="0" w:leftChars="0"/>
        <w:jc w:val="left"/>
        <w:rPr>
          <w:rFonts w:hint="eastAsia" w:ascii="宋体" w:hAnsi="宋体" w:eastAsia="宋体" w:cs="宋体"/>
          <w:kern w:val="2"/>
          <w:sz w:val="24"/>
          <w:szCs w:val="24"/>
          <w:lang w:val="en-US" w:eastAsia="zh-CN" w:bidi="ar-SA"/>
        </w:rPr>
      </w:pPr>
      <w:r>
        <w:rPr>
          <w:rFonts w:hint="eastAsia" w:ascii="宋体" w:hAnsi="宋体" w:eastAsia="宋体" w:cs="宋体"/>
          <w:kern w:val="0"/>
          <w:sz w:val="24"/>
          <w:szCs w:val="24"/>
          <w:lang w:val="en-US" w:eastAsia="zh-CN" w:bidi="ar"/>
        </w:rPr>
        <w:t>中标方应在设计成果交付后，配合甲方完成必要的设计成果说明与技术交底工作，以确保设计意图与总体架构得到准确理解。本条内容仅限于设计成果交付与说明层面，不构成对后续系统实施、产品采购或实施服务的约束或承诺。</w:t>
      </w:r>
    </w:p>
    <w:p w14:paraId="37F65F2A"/>
    <w:p w14:paraId="4E566E4D"/>
    <w:sectPr>
      <w:footerReference r:id="rId5" w:type="default"/>
      <w:pgSz w:w="11906" w:h="16838"/>
      <w:pgMar w:top="1440" w:right="1440" w:bottom="1440" w:left="144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981B65A-0551-4A02-8475-8238914BCB9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C9291EE-0AFD-41BB-B0D9-2F8A5E2914AA}"/>
  </w:font>
  <w:font w:name="等线">
    <w:panose1 w:val="02010600030101010101"/>
    <w:charset w:val="86"/>
    <w:family w:val="auto"/>
    <w:pitch w:val="default"/>
    <w:sig w:usb0="A00002BF" w:usb1="38CF7CFA" w:usb2="00000016" w:usb3="00000000" w:csb0="0004000F" w:csb1="00000000"/>
    <w:embedRegular r:id="rId3" w:fontKey="{55AFE093-C6B5-4C93-BDEB-06F31B71EAF7}"/>
  </w:font>
  <w:font w:name="仿宋">
    <w:panose1 w:val="02010609060101010101"/>
    <w:charset w:val="86"/>
    <w:family w:val="auto"/>
    <w:pitch w:val="default"/>
    <w:sig w:usb0="800002BF" w:usb1="38CF7CFA" w:usb2="00000016" w:usb3="00000000" w:csb0="00040001" w:csb1="00000000"/>
    <w:embedRegular r:id="rId4" w:fontKey="{9E28FD49-D501-4F3A-9F15-FD194DF7FD95}"/>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F4D46">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E7B78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61E7B78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CF7B4">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8BD39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68BD39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F6C04">
    <w:pPr>
      <w:pStyle w:val="8"/>
      <w:ind w:firstLine="1800" w:firstLineChars="1000"/>
      <w:rPr>
        <w:rFonts w:hint="default" w:eastAsiaTheme="minorEastAsia"/>
        <w:color w:val="808080" w:themeColor="background1" w:themeShade="80"/>
        <w:lang w:val="en-US" w:eastAsia="zh-CN"/>
      </w:rPr>
    </w:pPr>
    <w:r>
      <w:rPr>
        <w:rFonts w:hint="eastAsia"/>
        <w:color w:val="808080" w:themeColor="background1" w:themeShade="80"/>
        <w:lang w:val="en-US" w:eastAsia="zh-CN"/>
      </w:rPr>
      <w:t>朗坤科技北京通州数智化工厂项目（含集团平台）设计标需求说明书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B3F9D8"/>
    <w:multiLevelType w:val="singleLevel"/>
    <w:tmpl w:val="97B3F9D8"/>
    <w:lvl w:ilvl="0" w:tentative="0">
      <w:start w:val="1"/>
      <w:numFmt w:val="chineseCounting"/>
      <w:suff w:val="nothing"/>
      <w:lvlText w:val="%1、"/>
      <w:lvlJc w:val="left"/>
      <w:rPr>
        <w:rFonts w:hint="eastAsia"/>
      </w:rPr>
    </w:lvl>
  </w:abstractNum>
  <w:abstractNum w:abstractNumId="1">
    <w:nsid w:val="99C71020"/>
    <w:multiLevelType w:val="singleLevel"/>
    <w:tmpl w:val="99C71020"/>
    <w:lvl w:ilvl="0" w:tentative="0">
      <w:start w:val="1"/>
      <w:numFmt w:val="decimal"/>
      <w:suff w:val="nothing"/>
      <w:lvlText w:val="%1、"/>
      <w:lvlJc w:val="left"/>
    </w:lvl>
  </w:abstractNum>
  <w:abstractNum w:abstractNumId="2">
    <w:nsid w:val="C2BDC6C3"/>
    <w:multiLevelType w:val="singleLevel"/>
    <w:tmpl w:val="C2BDC6C3"/>
    <w:lvl w:ilvl="0" w:tentative="0">
      <w:start w:val="1"/>
      <w:numFmt w:val="decimal"/>
      <w:suff w:val="nothing"/>
      <w:lvlText w:val="%1．"/>
      <w:lvlJc w:val="left"/>
      <w:pPr>
        <w:ind w:left="0" w:firstLine="400"/>
      </w:pPr>
      <w:rPr>
        <w:rFonts w:hint="default"/>
      </w:rPr>
    </w:lvl>
  </w:abstractNum>
  <w:abstractNum w:abstractNumId="3">
    <w:nsid w:val="DCC0428B"/>
    <w:multiLevelType w:val="singleLevel"/>
    <w:tmpl w:val="DCC0428B"/>
    <w:lvl w:ilvl="0" w:tentative="0">
      <w:start w:val="1"/>
      <w:numFmt w:val="decimal"/>
      <w:suff w:val="space"/>
      <w:lvlText w:val="%1."/>
      <w:lvlJc w:val="left"/>
    </w:lvl>
  </w:abstractNum>
  <w:abstractNum w:abstractNumId="4">
    <w:nsid w:val="F4AA82C9"/>
    <w:multiLevelType w:val="singleLevel"/>
    <w:tmpl w:val="F4AA82C9"/>
    <w:lvl w:ilvl="0" w:tentative="0">
      <w:start w:val="1"/>
      <w:numFmt w:val="bullet"/>
      <w:lvlText w:val=""/>
      <w:lvlJc w:val="left"/>
      <w:pPr>
        <w:ind w:left="420" w:hanging="420"/>
      </w:pPr>
      <w:rPr>
        <w:rFonts w:hint="default" w:ascii="Wingdings" w:hAnsi="Wingdings"/>
      </w:rPr>
    </w:lvl>
  </w:abstractNum>
  <w:abstractNum w:abstractNumId="5">
    <w:nsid w:val="FBCEF017"/>
    <w:multiLevelType w:val="singleLevel"/>
    <w:tmpl w:val="FBCEF017"/>
    <w:lvl w:ilvl="0" w:tentative="0">
      <w:start w:val="2"/>
      <w:numFmt w:val="decimal"/>
      <w:suff w:val="space"/>
      <w:lvlText w:val="%1."/>
      <w:lvlJc w:val="left"/>
    </w:lvl>
  </w:abstractNum>
  <w:abstractNum w:abstractNumId="6">
    <w:nsid w:val="02017D67"/>
    <w:multiLevelType w:val="singleLevel"/>
    <w:tmpl w:val="02017D67"/>
    <w:lvl w:ilvl="0" w:tentative="0">
      <w:start w:val="1"/>
      <w:numFmt w:val="decimal"/>
      <w:lvlText w:val="(%1)"/>
      <w:lvlJc w:val="left"/>
      <w:pPr>
        <w:tabs>
          <w:tab w:val="left" w:pos="420"/>
        </w:tabs>
        <w:ind w:left="845" w:hanging="425"/>
      </w:pPr>
      <w:rPr>
        <w:rFonts w:hint="default"/>
      </w:rPr>
    </w:lvl>
  </w:abstractNum>
  <w:abstractNum w:abstractNumId="7">
    <w:nsid w:val="11CA8806"/>
    <w:multiLevelType w:val="singleLevel"/>
    <w:tmpl w:val="11CA8806"/>
    <w:lvl w:ilvl="0" w:tentative="0">
      <w:start w:val="3"/>
      <w:numFmt w:val="decimal"/>
      <w:suff w:val="nothing"/>
      <w:lvlText w:val="%1、"/>
      <w:lvlJc w:val="left"/>
    </w:lvl>
  </w:abstractNum>
  <w:abstractNum w:abstractNumId="8">
    <w:nsid w:val="247DD66F"/>
    <w:multiLevelType w:val="singleLevel"/>
    <w:tmpl w:val="247DD66F"/>
    <w:lvl w:ilvl="0" w:tentative="0">
      <w:start w:val="1"/>
      <w:numFmt w:val="decimal"/>
      <w:lvlText w:val="%1)"/>
      <w:lvlJc w:val="left"/>
      <w:pPr>
        <w:ind w:left="425" w:hanging="425"/>
      </w:pPr>
      <w:rPr>
        <w:rFonts w:hint="default"/>
      </w:rPr>
    </w:lvl>
  </w:abstractNum>
  <w:abstractNum w:abstractNumId="9">
    <w:nsid w:val="335FD7F6"/>
    <w:multiLevelType w:val="singleLevel"/>
    <w:tmpl w:val="335FD7F6"/>
    <w:lvl w:ilvl="0" w:tentative="0">
      <w:start w:val="1"/>
      <w:numFmt w:val="decimal"/>
      <w:lvlText w:val="%1."/>
      <w:lvlJc w:val="left"/>
      <w:pPr>
        <w:ind w:left="425" w:hanging="425"/>
      </w:pPr>
      <w:rPr>
        <w:rFonts w:hint="default"/>
      </w:rPr>
    </w:lvl>
  </w:abstractNum>
  <w:abstractNum w:abstractNumId="10">
    <w:nsid w:val="3CCA2B8E"/>
    <w:multiLevelType w:val="singleLevel"/>
    <w:tmpl w:val="3CCA2B8E"/>
    <w:lvl w:ilvl="0" w:tentative="0">
      <w:start w:val="1"/>
      <w:numFmt w:val="bullet"/>
      <w:lvlText w:val=""/>
      <w:lvlJc w:val="left"/>
      <w:pPr>
        <w:tabs>
          <w:tab w:val="left" w:pos="840"/>
        </w:tabs>
        <w:ind w:left="1260" w:hanging="420"/>
      </w:pPr>
      <w:rPr>
        <w:rFonts w:hint="default" w:ascii="Wingdings" w:hAnsi="Wingdings"/>
        <w:sz w:val="18"/>
        <w:szCs w:val="18"/>
      </w:rPr>
    </w:lvl>
  </w:abstractNum>
  <w:abstractNum w:abstractNumId="11">
    <w:nsid w:val="439EF1F1"/>
    <w:multiLevelType w:val="singleLevel"/>
    <w:tmpl w:val="439EF1F1"/>
    <w:lvl w:ilvl="0" w:tentative="0">
      <w:start w:val="1"/>
      <w:numFmt w:val="decimal"/>
      <w:suff w:val="space"/>
      <w:lvlText w:val="%1."/>
      <w:lvlJc w:val="left"/>
    </w:lvl>
  </w:abstractNum>
  <w:abstractNum w:abstractNumId="12">
    <w:nsid w:val="5298E465"/>
    <w:multiLevelType w:val="singleLevel"/>
    <w:tmpl w:val="5298E465"/>
    <w:lvl w:ilvl="0" w:tentative="0">
      <w:start w:val="1"/>
      <w:numFmt w:val="decimal"/>
      <w:lvlText w:val="(%1)"/>
      <w:lvlJc w:val="left"/>
      <w:pPr>
        <w:tabs>
          <w:tab w:val="left" w:pos="420"/>
        </w:tabs>
        <w:ind w:left="845" w:hanging="425"/>
      </w:pPr>
      <w:rPr>
        <w:rFonts w:hint="default"/>
      </w:rPr>
    </w:lvl>
  </w:abstractNum>
  <w:abstractNum w:abstractNumId="13">
    <w:nsid w:val="58AB0562"/>
    <w:multiLevelType w:val="singleLevel"/>
    <w:tmpl w:val="58AB0562"/>
    <w:lvl w:ilvl="0" w:tentative="0">
      <w:start w:val="1"/>
      <w:numFmt w:val="bullet"/>
      <w:lvlText w:val=""/>
      <w:lvlJc w:val="left"/>
      <w:pPr>
        <w:ind w:left="420" w:hanging="420"/>
      </w:pPr>
      <w:rPr>
        <w:rFonts w:hint="default" w:ascii="Wingdings" w:hAnsi="Wingdings"/>
      </w:rPr>
    </w:lvl>
  </w:abstractNum>
  <w:abstractNum w:abstractNumId="14">
    <w:nsid w:val="616CA5B2"/>
    <w:multiLevelType w:val="singleLevel"/>
    <w:tmpl w:val="616CA5B2"/>
    <w:lvl w:ilvl="0" w:tentative="0">
      <w:start w:val="5"/>
      <w:numFmt w:val="chineseCounting"/>
      <w:suff w:val="nothing"/>
      <w:lvlText w:val="%1、"/>
      <w:lvlJc w:val="left"/>
      <w:rPr>
        <w:rFonts w:hint="eastAsia"/>
      </w:rPr>
    </w:lvl>
  </w:abstractNum>
  <w:abstractNum w:abstractNumId="15">
    <w:nsid w:val="68E08402"/>
    <w:multiLevelType w:val="singleLevel"/>
    <w:tmpl w:val="68E08402"/>
    <w:lvl w:ilvl="0" w:tentative="0">
      <w:start w:val="1"/>
      <w:numFmt w:val="decimal"/>
      <w:lvlText w:val="(%1)"/>
      <w:lvlJc w:val="left"/>
      <w:pPr>
        <w:tabs>
          <w:tab w:val="left" w:pos="420"/>
        </w:tabs>
        <w:ind w:left="845" w:hanging="425"/>
      </w:pPr>
      <w:rPr>
        <w:rFonts w:hint="default"/>
      </w:rPr>
    </w:lvl>
  </w:abstractNum>
  <w:abstractNum w:abstractNumId="16">
    <w:nsid w:val="77E8ACFB"/>
    <w:multiLevelType w:val="singleLevel"/>
    <w:tmpl w:val="77E8ACFB"/>
    <w:lvl w:ilvl="0" w:tentative="0">
      <w:start w:val="1"/>
      <w:numFmt w:val="decimal"/>
      <w:suff w:val="nothing"/>
      <w:lvlText w:val="%1、"/>
      <w:lvlJc w:val="left"/>
    </w:lvl>
  </w:abstractNum>
  <w:num w:numId="1">
    <w:abstractNumId w:val="0"/>
  </w:num>
  <w:num w:numId="2">
    <w:abstractNumId w:val="7"/>
  </w:num>
  <w:num w:numId="3">
    <w:abstractNumId w:val="2"/>
  </w:num>
  <w:num w:numId="4">
    <w:abstractNumId w:val="9"/>
  </w:num>
  <w:num w:numId="5">
    <w:abstractNumId w:val="11"/>
  </w:num>
  <w:num w:numId="6">
    <w:abstractNumId w:val="3"/>
  </w:num>
  <w:num w:numId="7">
    <w:abstractNumId w:val="5"/>
  </w:num>
  <w:num w:numId="8">
    <w:abstractNumId w:val="16"/>
  </w:num>
  <w:num w:numId="9">
    <w:abstractNumId w:val="1"/>
  </w:num>
  <w:num w:numId="10">
    <w:abstractNumId w:val="8"/>
  </w:num>
  <w:num w:numId="11">
    <w:abstractNumId w:val="6"/>
  </w:num>
  <w:num w:numId="12">
    <w:abstractNumId w:val="12"/>
  </w:num>
  <w:num w:numId="13">
    <w:abstractNumId w:val="14"/>
  </w:num>
  <w:num w:numId="14">
    <w:abstractNumId w:val="10"/>
  </w:num>
  <w:num w:numId="15">
    <w:abstractNumId w:val="15"/>
  </w:num>
  <w:num w:numId="16">
    <w:abstractNumId w:val="4"/>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D622B1B"/>
    <w:rsid w:val="010409B0"/>
    <w:rsid w:val="017F5567"/>
    <w:rsid w:val="01A12E93"/>
    <w:rsid w:val="01E45EAF"/>
    <w:rsid w:val="023F142D"/>
    <w:rsid w:val="024063D2"/>
    <w:rsid w:val="02C72207"/>
    <w:rsid w:val="02EF5B59"/>
    <w:rsid w:val="03D87F76"/>
    <w:rsid w:val="03E9585B"/>
    <w:rsid w:val="048F3471"/>
    <w:rsid w:val="04915503"/>
    <w:rsid w:val="04DB77CA"/>
    <w:rsid w:val="04EB5E13"/>
    <w:rsid w:val="05B01908"/>
    <w:rsid w:val="05E24858"/>
    <w:rsid w:val="06345123"/>
    <w:rsid w:val="06500623"/>
    <w:rsid w:val="072603D4"/>
    <w:rsid w:val="07A61340"/>
    <w:rsid w:val="081A79C4"/>
    <w:rsid w:val="084F6F27"/>
    <w:rsid w:val="095E11A0"/>
    <w:rsid w:val="097F2BA8"/>
    <w:rsid w:val="09866974"/>
    <w:rsid w:val="09873A5A"/>
    <w:rsid w:val="0A115FF7"/>
    <w:rsid w:val="0A78251F"/>
    <w:rsid w:val="0AA91AD0"/>
    <w:rsid w:val="0BE83CF7"/>
    <w:rsid w:val="0C157BAF"/>
    <w:rsid w:val="0C1C6256"/>
    <w:rsid w:val="0C2C62FA"/>
    <w:rsid w:val="0C455461"/>
    <w:rsid w:val="0C6E173D"/>
    <w:rsid w:val="0CA50D35"/>
    <w:rsid w:val="0CDA20C6"/>
    <w:rsid w:val="0D622B1B"/>
    <w:rsid w:val="0DDD5C36"/>
    <w:rsid w:val="0EAA7F49"/>
    <w:rsid w:val="0EAE5466"/>
    <w:rsid w:val="0EFB6040"/>
    <w:rsid w:val="0F1A480B"/>
    <w:rsid w:val="0F267F57"/>
    <w:rsid w:val="0F3C418E"/>
    <w:rsid w:val="0FA97864"/>
    <w:rsid w:val="10AF31EF"/>
    <w:rsid w:val="125E478A"/>
    <w:rsid w:val="135C32E7"/>
    <w:rsid w:val="13D102BE"/>
    <w:rsid w:val="14D56CD6"/>
    <w:rsid w:val="14FF4A92"/>
    <w:rsid w:val="15324BDD"/>
    <w:rsid w:val="158B572E"/>
    <w:rsid w:val="15935113"/>
    <w:rsid w:val="15B051E0"/>
    <w:rsid w:val="16AD27BB"/>
    <w:rsid w:val="16DF7CBE"/>
    <w:rsid w:val="1713254D"/>
    <w:rsid w:val="171F45B2"/>
    <w:rsid w:val="17415C90"/>
    <w:rsid w:val="17937741"/>
    <w:rsid w:val="179C03F1"/>
    <w:rsid w:val="188E646A"/>
    <w:rsid w:val="19597C05"/>
    <w:rsid w:val="19D2746F"/>
    <w:rsid w:val="19E875AD"/>
    <w:rsid w:val="1AA816BE"/>
    <w:rsid w:val="1AB31060"/>
    <w:rsid w:val="1AD80858"/>
    <w:rsid w:val="1C550B58"/>
    <w:rsid w:val="1C5E1C38"/>
    <w:rsid w:val="1D0063A1"/>
    <w:rsid w:val="1D044FA8"/>
    <w:rsid w:val="1D8A039D"/>
    <w:rsid w:val="1E1323A6"/>
    <w:rsid w:val="1E5471D3"/>
    <w:rsid w:val="1E8636E0"/>
    <w:rsid w:val="1FC65E13"/>
    <w:rsid w:val="1FE31903"/>
    <w:rsid w:val="1FE75E5A"/>
    <w:rsid w:val="20817886"/>
    <w:rsid w:val="21304986"/>
    <w:rsid w:val="219C69F1"/>
    <w:rsid w:val="21D839C3"/>
    <w:rsid w:val="22E31441"/>
    <w:rsid w:val="231C5BF1"/>
    <w:rsid w:val="23B13718"/>
    <w:rsid w:val="248E2F27"/>
    <w:rsid w:val="25406A3C"/>
    <w:rsid w:val="258A438F"/>
    <w:rsid w:val="260469B2"/>
    <w:rsid w:val="264D6D44"/>
    <w:rsid w:val="273703A7"/>
    <w:rsid w:val="27672D22"/>
    <w:rsid w:val="276D1C8F"/>
    <w:rsid w:val="27765082"/>
    <w:rsid w:val="27770143"/>
    <w:rsid w:val="283B343B"/>
    <w:rsid w:val="28891840"/>
    <w:rsid w:val="28C87ACC"/>
    <w:rsid w:val="28EB0780"/>
    <w:rsid w:val="295F1838"/>
    <w:rsid w:val="2973276D"/>
    <w:rsid w:val="29C757C5"/>
    <w:rsid w:val="2A580F9F"/>
    <w:rsid w:val="2AA93324"/>
    <w:rsid w:val="2ABC33A0"/>
    <w:rsid w:val="2B0A59FD"/>
    <w:rsid w:val="2B1E4C2E"/>
    <w:rsid w:val="2B530520"/>
    <w:rsid w:val="2C5A0109"/>
    <w:rsid w:val="2CA06DDE"/>
    <w:rsid w:val="2CBA7028"/>
    <w:rsid w:val="2CEA52EC"/>
    <w:rsid w:val="2E1535E1"/>
    <w:rsid w:val="2E5C3996"/>
    <w:rsid w:val="2F16703B"/>
    <w:rsid w:val="2F223BD8"/>
    <w:rsid w:val="2F2C16F4"/>
    <w:rsid w:val="2F6A2714"/>
    <w:rsid w:val="2FFD0BCC"/>
    <w:rsid w:val="2FFD0E93"/>
    <w:rsid w:val="30182245"/>
    <w:rsid w:val="30EA0BFF"/>
    <w:rsid w:val="339B6442"/>
    <w:rsid w:val="33B47921"/>
    <w:rsid w:val="34190142"/>
    <w:rsid w:val="34436D60"/>
    <w:rsid w:val="34603F7D"/>
    <w:rsid w:val="34A903C6"/>
    <w:rsid w:val="351762D1"/>
    <w:rsid w:val="36C05290"/>
    <w:rsid w:val="3714051B"/>
    <w:rsid w:val="37366124"/>
    <w:rsid w:val="377D0D37"/>
    <w:rsid w:val="37E52FDD"/>
    <w:rsid w:val="37FA1F6D"/>
    <w:rsid w:val="38866744"/>
    <w:rsid w:val="38BC28B8"/>
    <w:rsid w:val="3A0F4795"/>
    <w:rsid w:val="3A631110"/>
    <w:rsid w:val="3A8168B2"/>
    <w:rsid w:val="3ABF3B2A"/>
    <w:rsid w:val="3B611AFB"/>
    <w:rsid w:val="3E2F5DA4"/>
    <w:rsid w:val="3E5D6577"/>
    <w:rsid w:val="3E7A1E1D"/>
    <w:rsid w:val="3E9A3C7A"/>
    <w:rsid w:val="3EF47905"/>
    <w:rsid w:val="3EFB28CA"/>
    <w:rsid w:val="3F0D1B7D"/>
    <w:rsid w:val="3F232059"/>
    <w:rsid w:val="3F41497D"/>
    <w:rsid w:val="408427A9"/>
    <w:rsid w:val="410D1152"/>
    <w:rsid w:val="41232A74"/>
    <w:rsid w:val="41670862"/>
    <w:rsid w:val="41757B07"/>
    <w:rsid w:val="41837AA2"/>
    <w:rsid w:val="41AD54F5"/>
    <w:rsid w:val="41F56772"/>
    <w:rsid w:val="420605C9"/>
    <w:rsid w:val="42AC34BF"/>
    <w:rsid w:val="435162AC"/>
    <w:rsid w:val="438A4F8E"/>
    <w:rsid w:val="439C24F0"/>
    <w:rsid w:val="439F709C"/>
    <w:rsid w:val="443810AC"/>
    <w:rsid w:val="44AA0B75"/>
    <w:rsid w:val="456D5A56"/>
    <w:rsid w:val="45947D5B"/>
    <w:rsid w:val="45A5563F"/>
    <w:rsid w:val="45CD3BEA"/>
    <w:rsid w:val="46281D8F"/>
    <w:rsid w:val="46F07A14"/>
    <w:rsid w:val="473A0AC8"/>
    <w:rsid w:val="4747433E"/>
    <w:rsid w:val="47832A07"/>
    <w:rsid w:val="48526519"/>
    <w:rsid w:val="48B171B7"/>
    <w:rsid w:val="48B325DE"/>
    <w:rsid w:val="48BF0AAE"/>
    <w:rsid w:val="491714E3"/>
    <w:rsid w:val="4A26732F"/>
    <w:rsid w:val="4A7B6730"/>
    <w:rsid w:val="4A8D0FA8"/>
    <w:rsid w:val="4A913778"/>
    <w:rsid w:val="4AA5108B"/>
    <w:rsid w:val="4AE25665"/>
    <w:rsid w:val="4B7B5AFE"/>
    <w:rsid w:val="4B944492"/>
    <w:rsid w:val="4BA46E79"/>
    <w:rsid w:val="4C0D4F41"/>
    <w:rsid w:val="4C8F2C1A"/>
    <w:rsid w:val="4CDC3ABD"/>
    <w:rsid w:val="4D5C2B53"/>
    <w:rsid w:val="4D960765"/>
    <w:rsid w:val="4DE55135"/>
    <w:rsid w:val="4F6D12AB"/>
    <w:rsid w:val="4F732AC8"/>
    <w:rsid w:val="4F76632E"/>
    <w:rsid w:val="4F7F2BA1"/>
    <w:rsid w:val="4FBA4479"/>
    <w:rsid w:val="4FC926E8"/>
    <w:rsid w:val="4FEC593C"/>
    <w:rsid w:val="4FF36569"/>
    <w:rsid w:val="509D4B6B"/>
    <w:rsid w:val="50B55D54"/>
    <w:rsid w:val="50E83116"/>
    <w:rsid w:val="51131624"/>
    <w:rsid w:val="512D0DEE"/>
    <w:rsid w:val="51303497"/>
    <w:rsid w:val="51C407B0"/>
    <w:rsid w:val="5221680B"/>
    <w:rsid w:val="527C2D66"/>
    <w:rsid w:val="527D17CE"/>
    <w:rsid w:val="52A93FED"/>
    <w:rsid w:val="53035F93"/>
    <w:rsid w:val="533329AB"/>
    <w:rsid w:val="53FD1522"/>
    <w:rsid w:val="54185D28"/>
    <w:rsid w:val="549C61F2"/>
    <w:rsid w:val="54AF5068"/>
    <w:rsid w:val="54E56F89"/>
    <w:rsid w:val="5556665B"/>
    <w:rsid w:val="55A9020C"/>
    <w:rsid w:val="55DD3BF3"/>
    <w:rsid w:val="55F6692F"/>
    <w:rsid w:val="56011A57"/>
    <w:rsid w:val="560D326B"/>
    <w:rsid w:val="56325B45"/>
    <w:rsid w:val="56B91708"/>
    <w:rsid w:val="56C34335"/>
    <w:rsid w:val="5701154B"/>
    <w:rsid w:val="575A15B5"/>
    <w:rsid w:val="57652A29"/>
    <w:rsid w:val="57AD5F86"/>
    <w:rsid w:val="57B120BB"/>
    <w:rsid w:val="57F15D09"/>
    <w:rsid w:val="584F5CED"/>
    <w:rsid w:val="58B73A25"/>
    <w:rsid w:val="593E1F79"/>
    <w:rsid w:val="5A761A05"/>
    <w:rsid w:val="5A861310"/>
    <w:rsid w:val="5AA47FD9"/>
    <w:rsid w:val="5AEC22B2"/>
    <w:rsid w:val="5BB41D20"/>
    <w:rsid w:val="5BC02AF2"/>
    <w:rsid w:val="5BD946E4"/>
    <w:rsid w:val="5C5069F0"/>
    <w:rsid w:val="5CAD4DC9"/>
    <w:rsid w:val="5CCA4D45"/>
    <w:rsid w:val="5D3F2B24"/>
    <w:rsid w:val="60724C1A"/>
    <w:rsid w:val="60C44138"/>
    <w:rsid w:val="6107794A"/>
    <w:rsid w:val="62242F34"/>
    <w:rsid w:val="63001967"/>
    <w:rsid w:val="63443DB1"/>
    <w:rsid w:val="63457F59"/>
    <w:rsid w:val="63F274C7"/>
    <w:rsid w:val="644A1480"/>
    <w:rsid w:val="6458100E"/>
    <w:rsid w:val="64D31B81"/>
    <w:rsid w:val="655D2B62"/>
    <w:rsid w:val="657F4273"/>
    <w:rsid w:val="66595E77"/>
    <w:rsid w:val="66597C80"/>
    <w:rsid w:val="67122238"/>
    <w:rsid w:val="67971C00"/>
    <w:rsid w:val="68A52440"/>
    <w:rsid w:val="68A530D8"/>
    <w:rsid w:val="6987641E"/>
    <w:rsid w:val="69C1281C"/>
    <w:rsid w:val="69D11222"/>
    <w:rsid w:val="6A657AAF"/>
    <w:rsid w:val="6A6F233B"/>
    <w:rsid w:val="6AB60EA8"/>
    <w:rsid w:val="6B0303B7"/>
    <w:rsid w:val="6B152506"/>
    <w:rsid w:val="6CA15FE8"/>
    <w:rsid w:val="6CC91B21"/>
    <w:rsid w:val="6D356901"/>
    <w:rsid w:val="6DEE28F1"/>
    <w:rsid w:val="6E61112C"/>
    <w:rsid w:val="6EC75E85"/>
    <w:rsid w:val="6EDB61E3"/>
    <w:rsid w:val="6F5420ED"/>
    <w:rsid w:val="6F6551A2"/>
    <w:rsid w:val="6FD170F1"/>
    <w:rsid w:val="6FDE403F"/>
    <w:rsid w:val="70000C58"/>
    <w:rsid w:val="706523E6"/>
    <w:rsid w:val="70AE2C6B"/>
    <w:rsid w:val="70AF5FDB"/>
    <w:rsid w:val="72043215"/>
    <w:rsid w:val="72A1234A"/>
    <w:rsid w:val="739711A5"/>
    <w:rsid w:val="741B4F4F"/>
    <w:rsid w:val="74203ACE"/>
    <w:rsid w:val="74B166BE"/>
    <w:rsid w:val="75480085"/>
    <w:rsid w:val="75E95CD9"/>
    <w:rsid w:val="766F5B7E"/>
    <w:rsid w:val="768A55B0"/>
    <w:rsid w:val="77ED2B68"/>
    <w:rsid w:val="78097A0F"/>
    <w:rsid w:val="784A0269"/>
    <w:rsid w:val="7851633D"/>
    <w:rsid w:val="78B560EE"/>
    <w:rsid w:val="78FE1CC2"/>
    <w:rsid w:val="79126D29"/>
    <w:rsid w:val="79330602"/>
    <w:rsid w:val="79A454A8"/>
    <w:rsid w:val="79AE4808"/>
    <w:rsid w:val="79CC2A1B"/>
    <w:rsid w:val="79CE6587"/>
    <w:rsid w:val="79FA2D06"/>
    <w:rsid w:val="7A5971E0"/>
    <w:rsid w:val="7A806649"/>
    <w:rsid w:val="7ADD0061"/>
    <w:rsid w:val="7B36111A"/>
    <w:rsid w:val="7C281499"/>
    <w:rsid w:val="7C513A05"/>
    <w:rsid w:val="7C6E34A6"/>
    <w:rsid w:val="7D2C59D4"/>
    <w:rsid w:val="7EE81D0C"/>
    <w:rsid w:val="7F2578EE"/>
    <w:rsid w:val="7FA95E44"/>
    <w:rsid w:val="7FD30895"/>
    <w:rsid w:val="7FFFF14E"/>
    <w:rsid w:val="FEFB2036"/>
    <w:rsid w:val="FFFD0EA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17"/>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styleId="11">
    <w:name w:val="Normal (Web)"/>
    <w:basedOn w:val="1"/>
    <w:qFormat/>
    <w:uiPriority w:val="0"/>
    <w:pPr>
      <w:spacing w:before="0" w:beforeAutospacing="1" w:after="0" w:afterAutospacing="1"/>
      <w:ind w:left="0" w:right="0"/>
      <w:jc w:val="left"/>
    </w:pPr>
    <w:rPr>
      <w:kern w:val="0"/>
      <w:sz w:val="24"/>
      <w:lang w:val="en-US" w:eastAsia="zh-CN" w:bidi="ar"/>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paragraph" w:customStyle="1" w:styleId="16">
    <w:name w:val="_Style 13"/>
    <w:qFormat/>
    <w:uiPriority w:val="0"/>
    <w:pPr>
      <w:spacing w:before="120" w:after="120" w:line="288" w:lineRule="auto"/>
      <w:ind w:left="0"/>
      <w:jc w:val="left"/>
    </w:pPr>
    <w:rPr>
      <w:rFonts w:ascii="Arial" w:hAnsi="Arial" w:eastAsia="等线" w:cs="Arial"/>
      <w:sz w:val="22"/>
      <w:szCs w:val="22"/>
    </w:rPr>
  </w:style>
  <w:style w:type="character" w:customStyle="1" w:styleId="17">
    <w:name w:val="标题 2 Char"/>
    <w:link w:val="3"/>
    <w:qFormat/>
    <w:uiPriority w:val="0"/>
    <w:rPr>
      <w:rFonts w:ascii="Arial" w:hAnsi="Arial" w:eastAsia="黑体"/>
      <w:b/>
      <w:sz w:val="32"/>
    </w:rPr>
  </w:style>
  <w:style w:type="paragraph" w:customStyle="1" w:styleId="18">
    <w:name w:val="列出段落1"/>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Calibri" w:hAnsi="Calibri" w:eastAsia="宋体" w:cs="Times New Roman"/>
      <w:kern w:val="2"/>
      <w:sz w:val="21"/>
      <w:szCs w:val="22"/>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ntractReview xmlns="http://schemas.wps.cn/vas-ai-hub/contract-review">
  <reviewItems>
    <reviewItem>
      <errorID>c77ac75c-1adc-4395-a326-65437086167d</errorID>
      <errorWord>（</errorWord>
      <group>L1_Format</group>
      <groupName>格式问题</groupName>
      <ability>L2_HalfPunc</ability>
      <abilityName>全半角检查</abilityName>
      <candidateList>
        <item>(</item>
      </candidateList>
      <explain>文本全半角错误。</explain>
      <paraID>6894A913</paraID>
      <start>0</start>
      <end>1</end>
      <status>unmodified</status>
      <modifiedWord/>
      <trackRevisions>false</trackRevisions>
    </reviewItem>
    <reviewItem>
      <errorID>39ab6d88-136c-4e46-affb-759a22ac9161</errorID>
      <errorWord>）</errorWord>
      <group>L1_Format</group>
      <groupName>格式问题</groupName>
      <ability>L2_HalfPunc</ability>
      <abilityName>全半角检查</abilityName>
      <candidateList>
        <item>)</item>
      </candidateList>
      <explain>文本全半角错误。</explain>
      <paraID>6894A913</paraID>
      <start>5</start>
      <end>6</end>
      <status>unmodified</status>
      <modifiedWord/>
      <trackRevisions>false</trackRevisions>
    </reviewItem>
    <reviewItem>
      <errorID>da74c93f-b03e-450a-bbd7-7250a7618458</errorID>
      <errorWord>-</errorWord>
      <group>L1_Format</group>
      <groupName>格式问题</groupName>
      <ability>L2_HalfPunc</ability>
      <abilityName>全半角检查</abilityName>
      <candidateList>
        <item>－</item>
      </candidateList>
      <explain>文本全半角错误。</explain>
      <paraID>6FBEA1EC</paraID>
      <start>15</start>
      <end>16</end>
      <status>unmodified</status>
      <modifiedWord/>
      <trackRevisions>false</trackRevisions>
    </reviewItem>
    <reviewItem>
      <errorID>e912c9b5-dad0-42b4-9af2-3c1d005d0d6f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269D16E7</paraID>
      <start>0</start>
      <end>2</end>
      <status>unmodified</status>
      <modifiedWord/>
      <trackRevisions>false</trackRevisions>
    </reviewItem>
    <reviewItem>
      <errorID>64a44021-c5a2-46c2-b578-d5ce2885d7fd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6088D385</paraID>
      <start>0</start>
      <end>2</end>
      <status>unmodified</status>
      <modifiedWord/>
      <trackRevisions>false</trackRevisions>
    </reviewItem>
    <reviewItem>
      <errorID>b7554f9e-eb49-4d92-8a2e-a02e010bf0f5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7958EC33</paraID>
      <start>0</start>
      <end>2</end>
      <status>unmodified</status>
      <modifiedWord/>
      <trackRevisions>false</trackRevisions>
    </reviewItem>
    <reviewItem>
      <errorID>24e37830-628a-4b4e-ba72-a2412d64ec5b</errorID>
      <errorWord>计</errorWord>
      <group>L1_Word</group>
      <groupName>字词问题</groupName>
      <ability>L2_Typo</ability>
      <abilityName>字词错误</abilityName>
      <candidateList>
        <item>计目</item>
      </candidateList>
      <explain/>
      <paraID>7958EC33</paraID>
      <start>10</start>
      <end>11</end>
      <status>ignored</status>
      <modifiedWord/>
      <trackRevisions>false</trackRevisions>
    </reviewItem>
    <reviewItem>
      <errorID>f8eec1aa-6828-414f-b6ab-0f03bf6aa7f3</errorID>
      <errorWord>双碳</errorWord>
      <group>L1_Political</group>
      <groupName>政治性问题</groupName>
      <ability>L2_Keyword</ability>
      <abilityName>固定表述</abilityName>
      <candidateList>
        <item>“双碳”</item>
      </candidateList>
      <explain>注意检查当前固定表述标点是否使用规范。</explain>
      <paraID>20BD0D2A</paraID>
      <start>45</start>
      <end>47</end>
      <status>ignored</status>
      <modifiedWord/>
      <trackRevisions>false</trackRevisions>
    </reviewItem>
    <reviewItem>
      <errorID>3afe03a8-73b0-43ab-b366-2aa9d6e7d2b1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497C4A7C</paraID>
      <start>0</start>
      <end>2</end>
      <status>unmodified</status>
      <modifiedWord/>
      <trackRevisions>false</trackRevisions>
    </reviewItem>
    <reviewItem>
      <errorID>178195b7-1a96-4cad-8de5-c49eadc87f13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6C6E095E</paraID>
      <start>0</start>
      <end>2</end>
      <status>unmodified</status>
      <modifiedWord/>
      <trackRevisions>false</trackRevisions>
    </reviewItem>
    <reviewItem>
      <errorID>b5141772-b172-4656-9105-4cb49efec4f4</errorID>
      <errorWord>双碳</errorWord>
      <group>L1_Political</group>
      <groupName>政治性问题</groupName>
      <ability>L2_Keyword</ability>
      <abilityName>固定表述</abilityName>
      <candidateList>
        <item>“双碳”</item>
      </candidateList>
      <explain>注意检查当前固定表述标点是否使用规范。</explain>
      <paraID>4B2B12E0</paraID>
      <start>0</start>
      <end>2</end>
      <status>unmodified</status>
      <modifiedWord/>
      <trackRevisions>false</trackRevisions>
    </reviewItem>
    <reviewItem>
      <errorID>612aeb16-59b8-484a-aea2-c83051995920</errorID>
      <errorWord>标的</errorWord>
      <group>L1_Word</group>
      <groupName>字词问题</groupName>
      <ability>L2_Typo</ability>
      <abilityName>字词错误</abilityName>
      <candidateList>
        <item>的</item>
      </candidateList>
      <explain>“的”常用于连接修饰语与名词性中心语，表示属性、所属或描述。</explain>
      <paraID>24CA2766</paraID>
      <start>4</start>
      <end>6</end>
      <status>unmodified</status>
      <modifiedWord/>
      <trackRevisions>false</trackRevisions>
    </reviewItem>
    <reviewItem>
      <errorID>e1156557-2e4c-4eff-aa67-9dc5dc56ea9c</errorID>
      <errorWord>施</errorWord>
      <group>L1_Word</group>
      <groupName>字词问题</groupName>
      <ability>L2_Typo</ability>
      <abilityName>字词错误</abilityName>
      <candidateList>
        <item>施目</item>
      </candidateList>
      <explain/>
      <paraID> F7725FE</paraID>
      <start>21</start>
      <end>22</end>
      <status>unmodified</status>
      <modifiedWord/>
      <trackRevisions>false</trackRevisions>
    </reviewItem>
    <reviewItem>
      <errorID>02d07ef8-1fcb-43b6-9c37-f090da6689d5</errorID>
      <errorWord>计</errorWord>
      <group>L1_Word</group>
      <groupName>字词问题</groupName>
      <ability>L2_Typo</ability>
      <abilityName>字词错误</abilityName>
      <candidateList>
        <item>计目</item>
      </candidateList>
      <explain/>
      <paraID>6EFDDA19</paraID>
      <start>21</start>
      <end>22</end>
      <status>unmodified</status>
      <modifiedWord/>
      <trackRevisions>false</trackRevisions>
    </reviewItem>
    <reviewItem>
      <errorID>49323ba8-a8ae-4415-b2ac-200e0009eb38</errorID>
      <errorWord>-</errorWord>
      <group>L1_Format</group>
      <groupName>格式问题</groupName>
      <ability>L2_HalfPunc</ability>
      <abilityName>全半角检查</abilityName>
      <candidateList>
        <item>－</item>
      </candidateList>
      <explain>文本全半角错误。</explain>
      <paraID>1FF8AE86</paraID>
      <start>5</start>
      <end>6</end>
      <status>unmodified</status>
      <modifiedWord/>
      <trackRevisions>false</trackRevisions>
    </reviewItem>
    <reviewItem>
      <errorID>70160bb2-38f1-4b19-9575-045fc2bb0ebf</errorID>
      <errorWord>亟需</errorWord>
      <group>L1_Word</group>
      <groupName>字词问题</groupName>
      <ability>L2_Typo</ability>
      <abilityName>字词错误</abilityName>
      <candidateList>
        <item>亟须</item>
      </candidateList>
      <explain>存在发音相同字词的误用。</explain>
      <paraID>69B8B491</paraID>
      <start>12</start>
      <end>16</end>
      <status>modified</status>
      <modifiedWord>亟须</modifiedWord>
      <trackRevisions>true</trackRevisions>
    </reviewItem>
    <reviewItem>
      <errorID>26995bfc-c7b4-489e-9bb5-28259a769680</errorID>
      <errorWord>标</errorWord>
      <group>L1_Word</group>
      <groupName>字词问题</groupName>
      <ability>L2_Typo</ability>
      <abilityName>字词错误</abilityName>
      <candidateList>
        <item>标准</item>
      </candidateList>
      <explain>❶〈名〉衡量事物的准则：技术～｜实践是检验真理的唯一～。❷〈形〉本身合于准则，可供同类事物比较核对的：～音｜～时｜她的发音很～。</explain>
      <paraID>69B8B491</paraID>
      <start>28</start>
      <end>29</end>
      <status>ignored</status>
      <modifiedWord/>
      <trackRevisions>false</trackRevisions>
    </reviewItem>
    <reviewItem>
      <errorID>7a197620-2211-4e89-8c23-ca13a6bb1539</errorID>
      <errorWord>-</errorWord>
      <group>L1_Format</group>
      <groupName>格式问题</groupName>
      <ability>L2_HalfPunc</ability>
      <abilityName>全半角检查</abilityName>
      <candidateList>
        <item>－</item>
      </candidateList>
      <explain>文本全半角错误。</explain>
      <paraID>43D92788</paraID>
      <start>22</start>
      <end>23</end>
      <status>unmodified</status>
      <modifiedWord/>
      <trackRevisions>false</trackRevisions>
    </reviewItem>
    <reviewItem>
      <errorID>392f4834-340a-4d94-9d45-b3ee89b8816d</errorID>
      <errorWord>"一带一路"</errorWord>
      <group>L1_Political</group>
      <groupName>政治性问题</groupName>
      <ability>L2_Keyword</ability>
      <abilityName>固定表述</abilityName>
      <candidateList>
        <item>“一带一路”</item>
      </candidateList>
      <explain>注意检查当前固定表述标点是否使用规范。</explain>
      <paraID>7F00B39D</paraID>
      <start>54</start>
      <end>60</end>
      <status>unmodified</status>
      <modifiedWord/>
      <trackRevisions>false</trackRevisions>
    </reviewItem>
    <reviewItem>
      <errorID>6df36655-6e9e-4546-bd29-2735bdfea5ff</errorID>
      <errorWord>亟需</errorWord>
      <group>L1_Word</group>
      <groupName>字词问题</groupName>
      <ability>L2_Typo</ability>
      <abilityName>字词错误</abilityName>
      <candidateList>
        <item>亟须</item>
      </candidateList>
      <explain>存在发音相同字词的误用。</explain>
      <paraID>60B89D76</paraID>
      <start>9</start>
      <end>13</end>
      <status>modified</status>
      <modifiedWord>亟须</modifiedWord>
      <trackRevisions>true</trackRevisions>
    </reviewItem>
    <reviewItem>
      <errorID>d6e6f1b8-6c8e-4dde-ab6e-6a2a47ac9979</errorID>
      <errorWord>"</errorWord>
      <group>L1_Format</group>
      <groupName>格式问题</groupName>
      <ability>L2_HalfPunc</ability>
      <abilityName>全半角检查</abilityName>
      <candidateList>
        <item>“</item>
      </candidateList>
      <explain>文本全半角错误。</explain>
      <paraID>7D12FAD8</paraID>
      <start>45</start>
      <end>46</end>
      <status>unmodified</status>
      <modifiedWord/>
      <trackRevisions>false</trackRevisions>
    </reviewItem>
    <reviewItem>
      <errorID>598e9846-33d1-4350-9c58-f72415386733</errorID>
      <errorWord>"</errorWord>
      <group>L1_Format</group>
      <groupName>格式问题</groupName>
      <ability>L2_HalfPunc</ability>
      <abilityName>全半角检查</abilityName>
      <candidateList>
        <item>”</item>
      </candidateList>
      <explain>文本全半角错误。</explain>
      <paraID>7D12FAD8</paraID>
      <start>68</start>
      <end>69</end>
      <status>unmodified</status>
      <modifiedWord/>
      <trackRevisions>false</trackRevisions>
    </reviewItem>
    <reviewItem>
      <errorID>a0692db5-74c8-49e7-949d-d94b56c23f20</errorID>
      <errorWord>计</errorWord>
      <group>L1_Word</group>
      <groupName>字词问题</groupName>
      <ability>L2_Typo</ability>
      <abilityName>字词错误</abilityName>
      <candidateList>
        <item>计目</item>
      </candidateList>
      <explain/>
      <paraID>7D12FAD8</paraID>
      <start>101</start>
      <end>102</end>
      <status>unmodified</status>
      <modifiedWord/>
      <trackRevisions>false</trackRevisions>
    </reviewItem>
    <reviewItem>
      <errorID>4303f4a8-8509-4e8b-9582-2653b8a49f9c</errorID>
      <errorWord>计</errorWord>
      <group>L1_Word</group>
      <groupName>字词问题</groupName>
      <ability>L2_Typo</ability>
      <abilityName>字词错误</abilityName>
      <candidateList>
        <item>计目</item>
      </candidateList>
      <explain/>
      <paraID>2F278ED5</paraID>
      <start>2</start>
      <end>3</end>
      <status>unmodified</status>
      <modifiedWord/>
      <trackRevisions>false</trackRevisions>
    </reviewItem>
    <reviewItem>
      <errorID>c3628447-f8c0-4206-843a-93edcc5ff254</errorID>
      <errorWord>标的</errorWord>
      <group>L1_Word</group>
      <groupName>字词问题</groupName>
      <ability>L2_Typo</ability>
      <abilityName>字词错误</abilityName>
      <candidateList>
        <item>的</item>
      </candidateList>
      <explain>“的”常用于连接修饰语与名词性中心语，表示属性、所属或描述。</explain>
      <paraID>28DDB18C</paraID>
      <start>3</start>
      <end>5</end>
      <status>unmodified</status>
      <modifiedWord/>
      <trackRevisions>false</trackRevisions>
    </reviewItem>
    <reviewItem>
      <errorID>e8c0e516-fc2a-485b-ba13-5da65c739be9</errorID>
      <errorWord>与与</errorWord>
      <group>L1_Word</group>
      <groupName>字词问题</groupName>
      <ability>L2_Typo</ability>
      <abilityName>字词错误</abilityName>
      <candidateList>
        <item>与</item>
      </candidateList>
      <explain>（舆）yù参与：～会。</explain>
      <paraID>42EF1BD5</paraID>
      <start>25</start>
      <end>28</end>
      <status>modified</status>
      <modifiedWord>与</modifiedWord>
      <trackRevisions>true</trackRevisions>
    </reviewItem>
    <reviewItem>
      <errorID>6ed28924-f758-4297-9c7f-60d095cc9e5a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492C4696</paraID>
      <start>0</start>
      <end>2</end>
      <status>unmodified</status>
      <modifiedWord/>
      <trackRevisions>false</trackRevisions>
    </reviewItem>
    <reviewItem>
      <errorID>4ede9956-c6f7-4df4-be9b-0de21321e9f0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14119B4C</paraID>
      <start>0</start>
      <end>2</end>
      <status>unmodified</status>
      <modifiedWord/>
      <trackRevisions>false</trackRevisions>
    </reviewItem>
    <reviewItem>
      <errorID>3e890ef5-3d2c-4941-adc0-231beebf667f</errorID>
      <errorWord>发电控制系统</errorWord>
      <group>L1_Knowledge</group>
      <groupName>知识性问题</groupName>
      <ability>L2_Term</ability>
      <abilityName>专业术语</abilityName>
      <candidateList>
        <item>继电控制系统</item>
      </candidateList>
      <explain/>
      <paraID>11311BB8</paraID>
      <start>22</start>
      <end>28</end>
      <status>unmodified</status>
      <modifiedWord/>
      <trackRevisions>false</trackRevisions>
    </reviewItem>
    <reviewItem>
      <errorID>e43a4fd0-7dde-4411-a945-890bf652192b</errorID>
      <errorWord>双碳</errorWord>
      <group>L1_Political</group>
      <groupName>政治性问题</groupName>
      <ability>L2_Keyword</ability>
      <abilityName>固定表述</abilityName>
      <candidateList>
        <item>“双碳”</item>
      </candidateList>
      <explain>注意检查当前固定表述标点是否使用规范。</explain>
      <paraID>31B6DD92</paraID>
      <start>54</start>
      <end>56</end>
      <status>unmodified</status>
      <modifiedWord/>
      <trackRevisions>false</trackRevisions>
    </reviewItem>
    <reviewItem>
      <errorID>0e5b11de-750b-4fb9-a058-9d5f4ce5c1a1</errorID>
      <errorWord>排</errorWord>
      <group>L1_Word</group>
      <groupName>字词问题</groupName>
      <ability>L2_Typo</ability>
      <abilityName>字词错误</abilityName>
      <candidateList>
        <item>排放</item>
      </candidateList>
      <explain/>
      <paraID>4A0E3B08</paraID>
      <start>105</start>
      <end>108</end>
      <status>modified</status>
      <modifiedWord>排放</modifiedWord>
      <trackRevisions>true</trackRevisions>
    </reviewItem>
    <reviewItem>
      <errorID>980d93c2-7592-4666-a880-8233fc92a5a7</errorID>
      <errorWord>-</errorWord>
      <group>L1_Format</group>
      <groupName>格式问题</groupName>
      <ability>L2_HalfPunc</ability>
      <abilityName>全半角检查</abilityName>
      <candidateList>
        <item>－</item>
      </candidateList>
      <explain>文本全半角错误。</explain>
      <paraID>59C42E7E</paraID>
      <start>12</start>
      <end>13</end>
      <status>unmodified</status>
      <modifiedWord/>
      <trackRevisions>false</trackRevisions>
    </reviewItem>
    <reviewItem>
      <errorID>73fcf825-6876-4c9e-8745-8ae56f3432b0</errorID>
      <errorWord>-</errorWord>
      <group>L1_Format</group>
      <groupName>格式问题</groupName>
      <ability>L2_HalfPunc</ability>
      <abilityName>全半角检查</abilityName>
      <candidateList>
        <item>－</item>
      </candidateList>
      <explain>文本全半角错误。</explain>
      <paraID>59C42E7E</paraID>
      <start>15</start>
      <end>16</end>
      <status>unmodified</status>
      <modifiedWord/>
      <trackRevisions>false</trackRevisions>
    </reviewItem>
    <reviewItem>
      <errorID>463e946d-7482-45cf-907f-e0be018a8ba3</errorID>
      <errorWord>-</errorWord>
      <group>L1_Format</group>
      <groupName>格式问题</groupName>
      <ability>L2_HalfPunc</ability>
      <abilityName>全半角检查</abilityName>
      <candidateList>
        <item>－</item>
      </candidateList>
      <explain>文本全半角错误。</explain>
      <paraID>59C42E7E</paraID>
      <start>18</start>
      <end>19</end>
      <status>unmodified</status>
      <modifiedWord/>
      <trackRevisions>false</trackRevisions>
    </reviewItem>
    <reviewItem>
      <errorID>09f6ef4a-9349-4fff-82f3-ffaaf9ae5966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1D6922C7</paraID>
      <start>0</start>
      <end>2</end>
      <status>unmodified</status>
      <modifiedWord/>
      <trackRevisions>false</trackRevisions>
    </reviewItem>
    <reviewItem>
      <errorID>1aaba6d0-b01c-4325-a597-571ad94cb66c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5383CE84</paraID>
      <start>0</start>
      <end>2</end>
      <status>unmodified</status>
      <modifiedWord/>
      <trackRevisions>false</trackRevisions>
    </reviewItem>
    <reviewItem>
      <errorID>0b60a5dd-fab4-4040-a1a7-5cb340b16268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4AB56B00</paraID>
      <start>0</start>
      <end>2</end>
      <status>unmodified</status>
      <modifiedWord/>
      <trackRevisions>false</trackRevisions>
    </reviewItem>
    <reviewItem>
      <errorID>0ddc8493-73d0-4d3c-9895-dc43945a73a4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526E9207</paraID>
      <start>0</start>
      <end>2</end>
      <status>unmodified</status>
      <modifiedWord/>
      <trackRevisions>false</trackRevisions>
    </reviewItem>
    <reviewItem>
      <errorID>8e04ba2b-9b84-4710-b694-0b1a57b4678a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41D4A5CE</paraID>
      <start>0</start>
      <end>2</end>
      <status>unmodified</status>
      <modifiedWord/>
      <trackRevisions>false</trackRevisions>
    </reviewItem>
    <reviewItem>
      <errorID>ed0be91a-da41-4ed9-97bf-764b52d5685f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55CF4D38</paraID>
      <start>0</start>
      <end>2</end>
      <status>unmodified</status>
      <modifiedWord/>
      <trackRevisions>false</trackRevisions>
    </reviewItem>
    <reviewItem>
      <errorID>65a82926-f380-4ecf-8c4b-ad53c0c17dcf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4CA54E7C</paraID>
      <start>0</start>
      <end>2</end>
      <status>unmodified</status>
      <modifiedWord/>
      <trackRevisions>false</trackRevisions>
    </reviewItem>
    <reviewItem>
      <errorID>bb1fba3a-2083-425d-bb69-bded7ac24531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E623214</paraID>
      <start>0</start>
      <end>2</end>
      <status>unmodified</status>
      <modifiedWord/>
      <trackRevisions>false</trackRevisions>
    </reviewItem>
    <reviewItem>
      <errorID>326aa3a6-2981-4e3b-8c69-924f8ef084d3</errorID>
      <errorWord>数据安全法</errorWord>
      <group>L1_Knowledge</group>
      <groupName>知识性问题</groupName>
      <ability>L2_Knowledge</ability>
      <abilityName>其他知识</abilityName>
      <candidateList>
        <item>中华人民共和国数据安全法</item>
      </candidateList>
      <explain>当前法律法规名称使用简称，请注意是否应当使用全称。</explain>
      <paraID> 46FFE22</paraID>
      <start>32</start>
      <end>37</end>
      <status>unmodified</status>
      <modifiedWord/>
      <trackRevisions>false</trackRevisions>
    </reviewItem>
    <reviewItem>
      <errorID>cdd5c4d0-9525-4ece-acac-9af05de8e8b4</errorID>
      <errorWord>》</errorWord>
      <group>L1_Word</group>
      <groupName>字词问题</groupName>
      <ability>L2_Typo</ability>
      <abilityName>字词错误</abilityName>
      <candidateList>
        <item>》和</item>
      </candidateList>
      <explain/>
      <paraID> 46FFE22</paraID>
      <start>37</start>
      <end>38</end>
      <status>unmodified</status>
      <modifiedWord/>
      <trackRevisions>false</trackRevisions>
    </reviewItem>
    <reviewItem>
      <errorID>5ab8a5f6-3a1c-430e-b8bb-18cb38dc63f2</errorID>
      <errorWord>标的</errorWord>
      <group>L1_Word</group>
      <groupName>字词问题</groupName>
      <ability>L2_Typo</ability>
      <abilityName>字词错误</abilityName>
      <candidateList>
        <item>的</item>
      </candidateList>
      <explain>“的”常用于连接修饰语与名词性中心语，表示属性、所属或描述。</explain>
      <paraID>3457EF6E</paraID>
      <start>22</start>
      <end>24</end>
      <status>unmodified</status>
      <modifiedWord/>
      <trackRevisions>false</trackRevisions>
    </reviewItem>
    <reviewItem>
      <errorID>a51884b6-28f3-41b2-8339-2d00f6b98463</errorID>
      <errorWord>双碳</errorWord>
      <group>L1_Political</group>
      <groupName>政治性问题</groupName>
      <ability>L2_Keyword</ability>
      <abilityName>固定表述</abilityName>
      <candidateList>
        <item>“双碳”</item>
      </candidateList>
      <explain>注意检查当前固定表述标点是否使用规范。</explain>
      <paraID>726F72CE</paraID>
      <start>37</start>
      <end>39</end>
      <status>unmodified</status>
      <modifiedWord/>
      <trackRevisions>false</trackRevisions>
    </reviewItem>
    <reviewItem>
      <errorID>b1312904-8636-4db4-85e2-67d0bf42f6f9</errorID>
      <errorWord>计</errorWord>
      <group>L1_Word</group>
      <groupName>字词问题</groupName>
      <ability>L2_Typo</ability>
      <abilityName>字词错误</abilityName>
      <candidateList>
        <item>计目</item>
      </candidateList>
      <explain/>
      <paraID>50C89894</paraID>
      <start>2</start>
      <end>3</end>
      <status>unmodified</status>
      <modifiedWord/>
      <trackRevisions>false</trackRevisions>
    </reviewItem>
    <reviewItem>
      <errorID>ec453e87-995c-4ce2-bd40-137271082c3d</errorID>
      <errorWord>计</errorWord>
      <group>L1_Word</group>
      <groupName>字词问题</groupName>
      <ability>L2_Typo</ability>
      <abilityName>字词错误</abilityName>
      <candidateList>
        <item>计目</item>
      </candidateList>
      <explain/>
      <paraID> 1A9533F</paraID>
      <start>2</start>
      <end>3</end>
      <status>unmodified</status>
      <modifiedWord/>
      <trackRevisions>false</trackRevisions>
    </reviewItem>
    <reviewItem>
      <errorID>670d372e-a853-4d96-8840-a2ad4eea67c4</errorID>
      <errorWord>多</errorWord>
      <group>L1_Word</group>
      <groupName>字词问题</groupName>
      <ability>L2_Typo</ability>
      <abilityName>字词错误</abilityName>
      <candidateList>
        <item>多种</item>
      </candidateList>
      <explain/>
      <paraID> 78B4C84</paraID>
      <start>31</start>
      <end>34</end>
      <status>modified</status>
      <modifiedWord>多种</modifiedWord>
      <trackRevisions>true</trackRevisions>
    </reviewItem>
    <reviewItem>
      <errorID>b1cd7479-8f15-430e-be98-ca9f566ba221</errorID>
      <errorWord>"</errorWord>
      <group>L1_Format</group>
      <groupName>格式问题</groupName>
      <ability>L2_HalfPunc</ability>
      <abilityName>全半角检查</abilityName>
      <candidateList>
        <item>“</item>
      </candidateList>
      <explain>文本全半角错误。</explain>
      <paraID>1CC980AD</paraID>
      <start>8</start>
      <end>9</end>
      <status>unmodified</status>
      <modifiedWord/>
      <trackRevisions>false</trackRevisions>
    </reviewItem>
    <reviewItem>
      <errorID>4615ea6d-8a1b-4c82-a9b4-59ffaa54a7c4</errorID>
      <errorWord>"</errorWord>
      <group>L1_Format</group>
      <groupName>格式问题</groupName>
      <ability>L2_HalfPunc</ability>
      <abilityName>全半角检查</abilityName>
      <candidateList>
        <item>”</item>
      </candidateList>
      <explain>文本全半角错误。</explain>
      <paraID>1CC980AD</paraID>
      <start>25</start>
      <end>26</end>
      <status>unmodified</status>
      <modifiedWord/>
      <trackRevisions>false</trackRevisions>
    </reviewItem>
    <reviewItem>
      <errorID>2cc013ba-620d-4df8-9f3a-01285e6dd5bd</errorID>
      <errorWord>"</errorWord>
      <group>L1_Format</group>
      <groupName>格式问题</groupName>
      <ability>L2_HalfPunc</ability>
      <abilityName>全半角检查</abilityName>
      <candidateList>
        <item>“</item>
      </candidateList>
      <explain>文本全半角错误。</explain>
      <paraID>1CC980AD</paraID>
      <start>27</start>
      <end>28</end>
      <status>unmodified</status>
      <modifiedWord/>
      <trackRevisions>false</trackRevisions>
    </reviewItem>
    <reviewItem>
      <errorID>58545255-5b64-4f7a-bd3a-4ea2565188b0</errorID>
      <errorWord>"</errorWord>
      <group>L1_Format</group>
      <groupName>格式问题</groupName>
      <ability>L2_HalfPunc</ability>
      <abilityName>全半角检查</abilityName>
      <candidateList>
        <item>”</item>
      </candidateList>
      <explain>文本全半角错误。</explain>
      <paraID>1CC980AD</paraID>
      <start>34</start>
      <end>35</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73c68aa-8be3-45ae-be24-66b3afe46850}">
  <ds:schemaRefs/>
</ds:datastoreItem>
</file>

<file path=docProps/app.xml><?xml version="1.0" encoding="utf-8"?>
<Properties xmlns="http://schemas.openxmlformats.org/officeDocument/2006/extended-properties" xmlns:vt="http://schemas.openxmlformats.org/officeDocument/2006/docPropsVTypes">
  <Pages>28</Pages>
  <Words>10524</Words>
  <Characters>10765</Characters>
  <Lines>0</Lines>
  <Paragraphs>0</Paragraphs>
  <TotalTime>135</TotalTime>
  <ScaleCrop>false</ScaleCrop>
  <LinksUpToDate>false</LinksUpToDate>
  <CharactersWithSpaces>11024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2025-08-29T11:35:00Z</dcterms:created>
  <dc:creator>难得无所谓</dc:creator>
  <cp:lastModifiedBy>Wangchao</cp:lastModifiedBy>
  <dcterms:modified xsi:type="dcterms:W3CDTF">2026-02-03T08:17:28Z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6A9A5C48CD634490A5879088E72DBBEF_13</vt:lpwstr>
  </property>
  <property fmtid="{D5CDD505-2E9C-101B-9397-08002B2CF9AE}" pid="4" name="KSOTemplateDocerSaveRecord">
    <vt:lpwstr>eyJoZGlkIjoiMWJmYmVhMGQ2YWQwOTc0ZDFkYmVkZTE0NzFkNThlYzIiLCJ1c2VySWQiOiI4MTY2ODU2NzIifQ==</vt:lpwstr>
  </property>
</Properties>
</file>