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85061">
      <w:pPr>
        <w:jc w:val="center"/>
        <w:rPr>
          <w:rFonts w:hint="eastAsia" w:asciiTheme="minorEastAsia" w:hAnsiTheme="minorEastAsia" w:eastAsiaTheme="minorEastAsia"/>
          <w:b/>
          <w:color w:val="000000" w:themeColor="text1"/>
          <w:sz w:val="36"/>
          <w:szCs w:val="36"/>
          <w:highlight w:val="none"/>
          <w:lang w:val="en-US" w:eastAsia="zh-CN"/>
        </w:rPr>
      </w:pPr>
      <w:bookmarkStart w:id="0" w:name="_Toc176085592"/>
      <w:bookmarkStart w:id="1" w:name="_Toc62027687"/>
      <w:r>
        <w:rPr>
          <w:rFonts w:hint="eastAsia" w:asciiTheme="minorEastAsia" w:hAnsiTheme="minorEastAsia" w:eastAsiaTheme="minorEastAsia"/>
          <w:b/>
          <w:color w:val="000000" w:themeColor="text1"/>
          <w:sz w:val="48"/>
          <w:szCs w:val="48"/>
          <w:highlight w:val="none"/>
          <w:lang w:val="en-US" w:eastAsia="zh-CN"/>
        </w:rPr>
        <w:t>北京通州生物质资源化项目</w:t>
      </w:r>
    </w:p>
    <w:p w14:paraId="49239FA8">
      <w:pPr>
        <w:jc w:val="center"/>
        <w:rPr>
          <w:rFonts w:hint="eastAsia" w:asciiTheme="minorEastAsia" w:hAnsiTheme="minorEastAsia" w:eastAsiaTheme="minorEastAsia"/>
          <w:bCs/>
          <w:color w:val="000000" w:themeColor="text1"/>
          <w:sz w:val="32"/>
          <w:szCs w:val="32"/>
          <w:highlight w:val="none"/>
          <w:lang w:val="en-US" w:eastAsia="zh-CN"/>
        </w:rPr>
      </w:pPr>
    </w:p>
    <w:p w14:paraId="336EBB23">
      <w:pPr>
        <w:jc w:val="center"/>
        <w:rPr>
          <w:rFonts w:asciiTheme="minorEastAsia" w:hAnsiTheme="minorEastAsia" w:eastAsiaTheme="minorEastAsia"/>
          <w:bCs/>
          <w:color w:val="000000" w:themeColor="text1"/>
          <w:sz w:val="32"/>
          <w:szCs w:val="32"/>
          <w:highlight w:val="none"/>
        </w:rPr>
      </w:pPr>
      <w:r>
        <w:rPr>
          <w:rFonts w:hint="eastAsia" w:asciiTheme="minorEastAsia" w:hAnsiTheme="minorEastAsia" w:eastAsiaTheme="minorEastAsia"/>
          <w:bCs/>
          <w:color w:val="000000" w:themeColor="text1"/>
          <w:sz w:val="32"/>
          <w:szCs w:val="32"/>
          <w:highlight w:val="none"/>
          <w:lang w:val="en-US" w:eastAsia="zh-CN"/>
        </w:rPr>
        <w:t>数智化工厂</w:t>
      </w:r>
      <w:r>
        <w:rPr>
          <w:rFonts w:hint="eastAsia" w:asciiTheme="minorEastAsia" w:hAnsiTheme="minorEastAsia" w:eastAsiaTheme="minorEastAsia"/>
          <w:bCs/>
          <w:color w:val="000000" w:themeColor="text1"/>
          <w:sz w:val="32"/>
          <w:szCs w:val="32"/>
          <w:highlight w:val="none"/>
          <w:lang w:val="en-US" w:eastAsia="zh-CN"/>
        </w:rPr>
        <w:t>设计标</w:t>
      </w:r>
      <w:r>
        <w:rPr>
          <w:rFonts w:hint="eastAsia" w:asciiTheme="minorEastAsia" w:hAnsiTheme="minorEastAsia" w:eastAsiaTheme="minorEastAsia"/>
          <w:bCs/>
          <w:color w:val="000000" w:themeColor="text1"/>
          <w:sz w:val="32"/>
          <w:szCs w:val="32"/>
          <w:highlight w:val="none"/>
        </w:rPr>
        <w:t>采购邀请招标函</w:t>
      </w:r>
    </w:p>
    <w:p w14:paraId="15844D44">
      <w:pPr>
        <w:widowControl/>
        <w:adjustRightInd w:val="0"/>
        <w:snapToGrid w:val="0"/>
        <w:spacing w:line="360" w:lineRule="auto"/>
        <w:jc w:val="center"/>
        <w:rPr>
          <w:rFonts w:asciiTheme="minorEastAsia" w:hAnsiTheme="minorEastAsia" w:eastAsiaTheme="minorEastAsia"/>
          <w:highlight w:val="none"/>
        </w:rPr>
      </w:pPr>
      <w:r>
        <w:rPr>
          <w:rFonts w:hint="eastAsia" w:asciiTheme="minorEastAsia" w:hAnsiTheme="minorEastAsia" w:eastAsiaTheme="minorEastAsia"/>
          <w:b/>
          <w:color w:val="000000" w:themeColor="text1"/>
          <w:sz w:val="30"/>
          <w:szCs w:val="30"/>
          <w:highlight w:val="none"/>
        </w:rPr>
        <w:t>（招标编号:</w:t>
      </w:r>
      <w:r>
        <w:rPr>
          <w:rFonts w:hint="eastAsia" w:asciiTheme="minorEastAsia" w:hAnsiTheme="minorEastAsia" w:eastAsiaTheme="minorEastAsia"/>
          <w:b/>
          <w:sz w:val="30"/>
          <w:szCs w:val="30"/>
          <w:highlight w:val="none"/>
        </w:rPr>
        <w:t xml:space="preserve"> ITB-LK-TZSWZ-CG-ZB-07</w:t>
      </w:r>
      <w:r>
        <w:rPr>
          <w:rFonts w:hint="eastAsia" w:asciiTheme="minorEastAsia" w:hAnsiTheme="minorEastAsia" w:eastAsiaTheme="minorEastAsia"/>
          <w:b/>
          <w:sz w:val="30"/>
          <w:szCs w:val="30"/>
          <w:highlight w:val="none"/>
          <w:lang w:val="en-US" w:eastAsia="zh-CN"/>
        </w:rPr>
        <w:t>5</w:t>
      </w:r>
      <w:r>
        <w:rPr>
          <w:rFonts w:hint="eastAsia" w:asciiTheme="minorEastAsia" w:hAnsiTheme="minorEastAsia" w:eastAsiaTheme="minorEastAsia"/>
          <w:b/>
          <w:color w:val="000000" w:themeColor="text1"/>
          <w:sz w:val="30"/>
          <w:szCs w:val="30"/>
          <w:highlight w:val="none"/>
        </w:rPr>
        <w:t>）</w:t>
      </w:r>
      <w:bookmarkEnd w:id="0"/>
      <w:bookmarkEnd w:id="1"/>
    </w:p>
    <w:p w14:paraId="3C22F8BB">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2" w:name="_Toc76215639"/>
      <w:r>
        <w:rPr>
          <w:rFonts w:hint="eastAsia" w:asciiTheme="minorEastAsia" w:hAnsiTheme="minorEastAsia" w:eastAsiaTheme="minorEastAsia"/>
          <w:b/>
          <w:szCs w:val="24"/>
          <w:highlight w:val="none"/>
        </w:rPr>
        <w:t>1.招标</w:t>
      </w:r>
      <w:r>
        <w:rPr>
          <w:rFonts w:asciiTheme="minorEastAsia" w:hAnsiTheme="minorEastAsia" w:eastAsiaTheme="minorEastAsia"/>
          <w:b/>
          <w:szCs w:val="24"/>
          <w:highlight w:val="none"/>
        </w:rPr>
        <w:t>条件</w:t>
      </w:r>
      <w:bookmarkEnd w:id="2"/>
      <w:bookmarkStart w:id="19" w:name="_GoBack"/>
      <w:bookmarkEnd w:id="19"/>
    </w:p>
    <w:p w14:paraId="32F78789">
      <w:pPr>
        <w:jc w:val="both"/>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本招标项目</w:t>
      </w:r>
      <w:r>
        <w:rPr>
          <w:rFonts w:hint="eastAsia" w:asciiTheme="minorEastAsia" w:hAnsiTheme="minorEastAsia" w:eastAsiaTheme="minorEastAsia"/>
          <w:szCs w:val="24"/>
          <w:highlight w:val="none"/>
          <w:u w:val="single"/>
          <w:lang w:val="en-US" w:eastAsia="zh-CN"/>
        </w:rPr>
        <w:t>北京通州生物质资源化项目</w:t>
      </w:r>
      <w:r>
        <w:rPr>
          <w:rFonts w:hint="eastAsia" w:asciiTheme="minorEastAsia" w:hAnsiTheme="minorEastAsia" w:eastAsiaTheme="minorEastAsia"/>
          <w:szCs w:val="24"/>
          <w:highlight w:val="none"/>
        </w:rPr>
        <w:t>已由</w:t>
      </w:r>
      <w:r>
        <w:rPr>
          <w:rFonts w:hint="eastAsia" w:asciiTheme="minorEastAsia" w:hAnsiTheme="minorEastAsia" w:eastAsiaTheme="minorEastAsia"/>
          <w:szCs w:val="24"/>
          <w:highlight w:val="none"/>
          <w:lang w:val="en-US" w:eastAsia="zh-CN"/>
        </w:rPr>
        <w:t>通州区</w:t>
      </w:r>
      <w:r>
        <w:rPr>
          <w:rFonts w:hint="eastAsia" w:asciiTheme="minorEastAsia" w:hAnsiTheme="minorEastAsia" w:eastAsiaTheme="minorEastAsia"/>
          <w:szCs w:val="24"/>
          <w:highlight w:val="none"/>
        </w:rPr>
        <w:t>人民政府审定的实施方案批准建设，现已由项目的投资人深圳市朗坤</w:t>
      </w:r>
      <w:r>
        <w:rPr>
          <w:rFonts w:hint="eastAsia" w:asciiTheme="minorEastAsia" w:hAnsiTheme="minorEastAsia" w:eastAsiaTheme="minorEastAsia"/>
          <w:szCs w:val="24"/>
          <w:highlight w:val="none"/>
          <w:lang w:val="en-US" w:eastAsia="zh-CN"/>
        </w:rPr>
        <w:t>科技</w:t>
      </w:r>
      <w:r>
        <w:rPr>
          <w:rFonts w:hint="eastAsia" w:asciiTheme="minorEastAsia" w:hAnsiTheme="minorEastAsia" w:eastAsiaTheme="minorEastAsia"/>
          <w:szCs w:val="24"/>
          <w:highlight w:val="none"/>
        </w:rPr>
        <w:t>股份有限</w:t>
      </w:r>
      <w:r>
        <w:rPr>
          <w:rFonts w:hint="eastAsia" w:asciiTheme="minorEastAsia" w:hAnsiTheme="minorEastAsia" w:eastAsiaTheme="minorEastAsia"/>
          <w:szCs w:val="24"/>
          <w:highlight w:val="none"/>
          <w:lang w:val="en-US" w:eastAsia="zh-CN"/>
        </w:rPr>
        <w:t>公司</w:t>
      </w:r>
      <w:r>
        <w:rPr>
          <w:rFonts w:hint="eastAsia" w:asciiTheme="minorEastAsia" w:hAnsiTheme="minorEastAsia" w:eastAsiaTheme="minorEastAsia"/>
          <w:szCs w:val="24"/>
          <w:highlight w:val="none"/>
        </w:rPr>
        <w:t>为总承包单位，项目的</w:t>
      </w:r>
      <w:r>
        <w:rPr>
          <w:rFonts w:hint="eastAsia" w:asciiTheme="minorEastAsia" w:hAnsiTheme="minorEastAsia" w:eastAsiaTheme="minorEastAsia"/>
          <w:szCs w:val="24"/>
          <w:highlight w:val="none"/>
          <w:lang w:val="en-US" w:eastAsia="zh-CN"/>
        </w:rPr>
        <w:t>数智化工厂</w:t>
      </w:r>
      <w:r>
        <w:rPr>
          <w:rFonts w:hint="eastAsia" w:asciiTheme="minorEastAsia" w:hAnsiTheme="minorEastAsia" w:eastAsiaTheme="minorEastAsia"/>
          <w:szCs w:val="24"/>
          <w:highlight w:val="none"/>
          <w:lang w:val="en-US" w:eastAsia="zh-CN"/>
        </w:rPr>
        <w:t>设计标</w:t>
      </w:r>
      <w:r>
        <w:rPr>
          <w:rFonts w:hint="eastAsia" w:asciiTheme="minorEastAsia" w:hAnsiTheme="minorEastAsia" w:eastAsiaTheme="minorEastAsia"/>
          <w:szCs w:val="24"/>
          <w:highlight w:val="none"/>
        </w:rPr>
        <w:t>已具备招标条件，现对该项目进行招邀标工作。</w:t>
      </w:r>
    </w:p>
    <w:p w14:paraId="57FA54B1">
      <w:pPr>
        <w:jc w:val="both"/>
        <w:rPr>
          <w:rFonts w:hint="eastAsia" w:asciiTheme="minorEastAsia" w:hAnsiTheme="minorEastAsia" w:eastAsiaTheme="minorEastAsia"/>
          <w:b/>
          <w:szCs w:val="24"/>
          <w:highlight w:val="none"/>
        </w:rPr>
      </w:pPr>
      <w:r>
        <w:rPr>
          <w:rFonts w:asciiTheme="minorEastAsia" w:hAnsiTheme="minorEastAsia" w:eastAsiaTheme="minorEastAsia"/>
          <w:szCs w:val="24"/>
          <w:highlight w:val="none"/>
        </w:rPr>
        <w:cr/>
      </w:r>
      <w:bookmarkStart w:id="3" w:name="_Toc98249147"/>
      <w:r>
        <w:rPr>
          <w:rFonts w:hint="eastAsia" w:asciiTheme="minorEastAsia" w:hAnsiTheme="minorEastAsia" w:eastAsiaTheme="minorEastAsia"/>
          <w:b/>
          <w:szCs w:val="24"/>
          <w:highlight w:val="none"/>
        </w:rPr>
        <w:t>2.项目概况与招标范围</w:t>
      </w:r>
      <w:bookmarkEnd w:id="3"/>
    </w:p>
    <w:p w14:paraId="4C4FC53D">
      <w:pPr>
        <w:jc w:val="both"/>
        <w:rPr>
          <w:rFonts w:hint="eastAsia" w:asciiTheme="minorEastAsia" w:hAnsiTheme="minorEastAsia" w:eastAsiaTheme="minorEastAsia"/>
          <w:b/>
          <w:szCs w:val="24"/>
          <w:highlight w:val="none"/>
        </w:rPr>
      </w:pPr>
    </w:p>
    <w:p w14:paraId="5128BB0D">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2.1项</w:t>
      </w:r>
      <w:r>
        <w:rPr>
          <w:rFonts w:asciiTheme="minorEastAsia" w:hAnsiTheme="minorEastAsia" w:eastAsiaTheme="minorEastAsia"/>
          <w:szCs w:val="24"/>
          <w:highlight w:val="none"/>
        </w:rPr>
        <w:t>目概况：</w:t>
      </w:r>
      <w:r>
        <w:rPr>
          <w:rFonts w:hint="eastAsia" w:ascii="宋体" w:hAnsi="宋体" w:eastAsia="宋体" w:cs="宋体"/>
          <w:kern w:val="0"/>
          <w:sz w:val="24"/>
          <w:szCs w:val="24"/>
          <w:highlight w:val="none"/>
          <w:lang w:val="en-US" w:eastAsia="zh-CN" w:bidi="ar-SA"/>
        </w:rPr>
        <w:t>北京通州有机质资源再生中心是集餐厨垃圾、厨余垃圾、粪污、废弃食用油脂处理及生物柴油生产于一体的综合性有机固废深度资源化项目，是全国一次性建成规模最大的有机固废协同处置与资源化利用示范工程。</w:t>
      </w:r>
    </w:p>
    <w:p w14:paraId="1B6B04E0">
      <w:pPr>
        <w:spacing w:line="360" w:lineRule="auto"/>
        <w:jc w:val="left"/>
        <w:rPr>
          <w:rFonts w:hint="eastAsia" w:asciiTheme="minorEastAsia" w:hAnsiTheme="minorEastAsia" w:eastAsiaTheme="minorEastAsia"/>
          <w:szCs w:val="24"/>
          <w:highlight w:val="none"/>
          <w:u w:val="none"/>
          <w:lang w:val="en-US" w:eastAsia="zh-CN"/>
        </w:rPr>
      </w:pPr>
      <w:r>
        <w:rPr>
          <w:rFonts w:asciiTheme="minorEastAsia" w:hAnsiTheme="minorEastAsia" w:eastAsiaTheme="minorEastAsia"/>
          <w:szCs w:val="24"/>
          <w:highlight w:val="none"/>
        </w:rPr>
        <w:t>2.1.1项目名称</w:t>
      </w:r>
      <w:r>
        <w:rPr>
          <w:rFonts w:hint="eastAsia" w:asciiTheme="minorEastAsia" w:hAnsiTheme="minorEastAsia" w:eastAsiaTheme="minorEastAsia"/>
          <w:szCs w:val="24"/>
          <w:highlight w:val="none"/>
        </w:rPr>
        <w:t>：</w:t>
      </w:r>
      <w:r>
        <w:rPr>
          <w:rFonts w:hint="eastAsia" w:asciiTheme="minorEastAsia" w:hAnsiTheme="minorEastAsia" w:eastAsiaTheme="minorEastAsia"/>
          <w:szCs w:val="24"/>
          <w:highlight w:val="none"/>
          <w:u w:val="none"/>
          <w:lang w:val="en-US" w:eastAsia="zh-CN"/>
        </w:rPr>
        <w:t>北京通州生物质资源化项目</w:t>
      </w:r>
    </w:p>
    <w:p w14:paraId="343E7DED">
      <w:pPr>
        <w:spacing w:line="360" w:lineRule="auto"/>
        <w:jc w:val="left"/>
        <w:rPr>
          <w:rFonts w:ascii="宋体" w:hAnsi="宋体"/>
          <w:highlight w:val="none"/>
        </w:rPr>
      </w:pPr>
      <w:r>
        <w:rPr>
          <w:rFonts w:asciiTheme="minorEastAsia" w:hAnsiTheme="minorEastAsia" w:eastAsiaTheme="minorEastAsia"/>
          <w:szCs w:val="24"/>
          <w:highlight w:val="none"/>
        </w:rPr>
        <w:t>2.1.2</w:t>
      </w:r>
      <w:r>
        <w:rPr>
          <w:rFonts w:hint="eastAsia" w:asciiTheme="minorEastAsia" w:hAnsiTheme="minorEastAsia" w:eastAsiaTheme="minorEastAsia"/>
          <w:szCs w:val="24"/>
          <w:highlight w:val="none"/>
        </w:rPr>
        <w:t>项目地点：</w:t>
      </w:r>
      <w:r>
        <w:rPr>
          <w:rFonts w:ascii="宋体" w:hAnsi="宋体"/>
          <w:highlight w:val="none"/>
        </w:rPr>
        <w:t>通州区永乐店镇，再生能源发电厂东侧的环卫设施预留用地内</w:t>
      </w:r>
    </w:p>
    <w:p w14:paraId="5756C847">
      <w:pPr>
        <w:spacing w:line="360" w:lineRule="auto"/>
        <w:jc w:val="left"/>
        <w:rPr>
          <w:rFonts w:hint="eastAsia" w:asciiTheme="minorEastAsia" w:hAnsiTheme="minorEastAsia" w:eastAsiaTheme="minorEastAsia" w:cstheme="minorEastAsia"/>
          <w:szCs w:val="24"/>
          <w:highlight w:val="none"/>
          <w:lang w:eastAsia="zh-CN"/>
        </w:rPr>
      </w:pPr>
      <w:r>
        <w:rPr>
          <w:rFonts w:asciiTheme="minorEastAsia" w:hAnsiTheme="minorEastAsia" w:eastAsiaTheme="minorEastAsia"/>
          <w:szCs w:val="24"/>
          <w:highlight w:val="none"/>
        </w:rPr>
        <w:t>2.1.3</w:t>
      </w:r>
      <w:r>
        <w:rPr>
          <w:rFonts w:hint="eastAsia" w:asciiTheme="minorEastAsia" w:hAnsiTheme="minorEastAsia" w:eastAsiaTheme="minorEastAsia"/>
          <w:szCs w:val="24"/>
          <w:highlight w:val="none"/>
        </w:rPr>
        <w:t>工</w:t>
      </w:r>
      <w:r>
        <w:rPr>
          <w:rFonts w:asciiTheme="minorEastAsia" w:hAnsiTheme="minorEastAsia" w:eastAsiaTheme="minorEastAsia"/>
          <w:szCs w:val="24"/>
          <w:highlight w:val="none"/>
        </w:rPr>
        <w:t>程规模：</w:t>
      </w:r>
      <w:r>
        <w:rPr>
          <w:rFonts w:hint="eastAsia" w:asciiTheme="minorEastAsia" w:hAnsiTheme="minorEastAsia" w:eastAsiaTheme="minorEastAsia" w:cstheme="minorEastAsia"/>
          <w:szCs w:val="24"/>
          <w:highlight w:val="none"/>
        </w:rPr>
        <w:t>处理餐厨垃圾共</w:t>
      </w:r>
      <w:r>
        <w:rPr>
          <w:rFonts w:hint="eastAsia" w:asciiTheme="minorEastAsia" w:hAnsiTheme="minorEastAsia" w:eastAsiaTheme="minorEastAsia" w:cstheme="minorEastAsia"/>
          <w:szCs w:val="24"/>
          <w:highlight w:val="none"/>
          <w:lang w:val="en-US" w:eastAsia="zh-CN"/>
        </w:rPr>
        <w:t>2100</w:t>
      </w:r>
      <w:r>
        <w:rPr>
          <w:rFonts w:hint="eastAsia" w:asciiTheme="minorEastAsia" w:hAnsiTheme="minorEastAsia" w:eastAsiaTheme="minorEastAsia" w:cstheme="minorEastAsia"/>
          <w:szCs w:val="24"/>
          <w:highlight w:val="none"/>
        </w:rPr>
        <w:t>吨/天</w:t>
      </w:r>
      <w:r>
        <w:rPr>
          <w:rFonts w:hint="eastAsia" w:asciiTheme="minorEastAsia" w:hAnsiTheme="minorEastAsia" w:eastAsiaTheme="minorEastAsia" w:cstheme="minorEastAsia"/>
          <w:szCs w:val="24"/>
          <w:highlight w:val="none"/>
          <w:lang w:eastAsia="zh-CN"/>
        </w:rPr>
        <w:t>。</w:t>
      </w:r>
    </w:p>
    <w:p w14:paraId="7E148F68">
      <w:pPr>
        <w:spacing w:line="360" w:lineRule="auto"/>
        <w:jc w:val="left"/>
        <w:rPr>
          <w:rFonts w:hint="eastAsia" w:asciiTheme="minorEastAsia" w:hAnsiTheme="minorEastAsia" w:eastAsiaTheme="minorEastAsia"/>
          <w:szCs w:val="24"/>
          <w:highlight w:val="none"/>
        </w:rPr>
      </w:pPr>
      <w:r>
        <w:rPr>
          <w:rFonts w:asciiTheme="minorEastAsia" w:hAnsiTheme="minorEastAsia" w:eastAsiaTheme="minorEastAsia"/>
          <w:szCs w:val="24"/>
          <w:highlight w:val="none"/>
        </w:rPr>
        <w:t>2.2</w:t>
      </w:r>
      <w:r>
        <w:rPr>
          <w:rFonts w:hint="eastAsia" w:asciiTheme="minorEastAsia" w:hAnsiTheme="minorEastAsia" w:eastAsiaTheme="minorEastAsia"/>
          <w:szCs w:val="24"/>
          <w:highlight w:val="none"/>
        </w:rPr>
        <w:t>招</w:t>
      </w:r>
      <w:r>
        <w:rPr>
          <w:rFonts w:asciiTheme="minorEastAsia" w:hAnsiTheme="minorEastAsia" w:eastAsiaTheme="minorEastAsia"/>
          <w:szCs w:val="24"/>
          <w:highlight w:val="none"/>
        </w:rPr>
        <w:t>标</w:t>
      </w:r>
      <w:r>
        <w:rPr>
          <w:rFonts w:hint="eastAsia" w:asciiTheme="minorEastAsia" w:hAnsiTheme="minorEastAsia" w:eastAsiaTheme="minorEastAsia"/>
          <w:szCs w:val="24"/>
          <w:highlight w:val="none"/>
        </w:rPr>
        <w:t>范围：</w:t>
      </w:r>
    </w:p>
    <w:p w14:paraId="049048E5">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lang w:val="en-US" w:eastAsia="zh-CN"/>
        </w:rPr>
        <w:t>2.2</w:t>
      </w:r>
      <w:r>
        <w:rPr>
          <w:rFonts w:hint="eastAsia" w:asciiTheme="minorEastAsia" w:hAnsiTheme="minorEastAsia" w:eastAsiaTheme="minorEastAsia"/>
          <w:szCs w:val="24"/>
          <w:highlight w:val="none"/>
        </w:rPr>
        <w:t>.1 招标定位说明</w:t>
      </w:r>
    </w:p>
    <w:p w14:paraId="5DC336B2">
      <w:pPr>
        <w:spacing w:line="360" w:lineRule="auto"/>
        <w:ind w:firstLine="480" w:firstLineChars="2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本次招标为</w:t>
      </w:r>
      <w:r>
        <w:rPr>
          <w:rFonts w:hint="eastAsia" w:asciiTheme="minorEastAsia" w:hAnsiTheme="minorEastAsia" w:eastAsiaTheme="minorEastAsia"/>
          <w:szCs w:val="24"/>
          <w:highlight w:val="none"/>
          <w:lang w:eastAsia="zh-CN"/>
        </w:rPr>
        <w:t>数智化工厂</w:t>
      </w:r>
      <w:r>
        <w:rPr>
          <w:rFonts w:hint="eastAsia" w:asciiTheme="minorEastAsia" w:hAnsiTheme="minorEastAsia" w:eastAsiaTheme="minorEastAsia"/>
          <w:szCs w:val="24"/>
          <w:highlight w:val="none"/>
        </w:rPr>
        <w:t>设计标招标，旨在引入具备系统规划能力、行业理解能力和架构设计能力的设计单位或厂商，为朗坤科技构建面向未来的数智化工厂与集团级一体化平台提供顶层设计与总体规划方案。</w:t>
      </w:r>
    </w:p>
    <w:p w14:paraId="0F4915E3">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本次招标成果定位为设计咨询类成果，重点关注整体架构设计、业务与技术融合路径、阶段性建设路线及方法论，不涉及具体产品采购、系统实施或性能交付承诺。</w:t>
      </w:r>
    </w:p>
    <w:p w14:paraId="06A834A5">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lang w:val="en-US" w:eastAsia="zh-CN"/>
        </w:rPr>
        <w:t>2.2</w:t>
      </w:r>
      <w:r>
        <w:rPr>
          <w:rFonts w:hint="eastAsia" w:asciiTheme="minorEastAsia" w:hAnsiTheme="minorEastAsia" w:eastAsiaTheme="minorEastAsia"/>
          <w:szCs w:val="24"/>
          <w:highlight w:val="none"/>
        </w:rPr>
        <w:t>.2 投标文件总体要求</w:t>
      </w:r>
    </w:p>
    <w:p w14:paraId="0D5966BE">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投标文件应定位为"</w:t>
      </w:r>
      <w:r>
        <w:rPr>
          <w:rFonts w:hint="eastAsia" w:asciiTheme="minorEastAsia" w:hAnsiTheme="minorEastAsia" w:eastAsiaTheme="minorEastAsia"/>
          <w:szCs w:val="24"/>
          <w:highlight w:val="none"/>
          <w:lang w:eastAsia="zh-CN"/>
        </w:rPr>
        <w:t>数智化工厂</w:t>
      </w:r>
      <w:r>
        <w:rPr>
          <w:rFonts w:hint="eastAsia" w:asciiTheme="minorEastAsia" w:hAnsiTheme="minorEastAsia" w:eastAsiaTheme="minorEastAsia"/>
          <w:szCs w:val="24"/>
          <w:highlight w:val="none"/>
        </w:rPr>
        <w:t>总体设计方案"或"设计咨询报告"，或者两者的结合。</w:t>
      </w:r>
    </w:p>
    <w:p w14:paraId="642F2A2C">
      <w:pPr>
        <w:spacing w:line="360" w:lineRule="auto"/>
        <w:ind w:firstLine="240" w:firstLineChars="1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投标文件应重点体现投标方在以下方面的能力：</w:t>
      </w:r>
    </w:p>
    <w:p w14:paraId="3A896E97">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对朗坤科技业务模式、行业特点及发展目标的理解深度；</w:t>
      </w:r>
    </w:p>
    <w:p w14:paraId="6E0B0D9B">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对餐厨垃圾、厨余垃圾、生物柴油等业务场景的系统性认知；</w:t>
      </w:r>
    </w:p>
    <w:p w14:paraId="45B5AF2A">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对数智化工厂与集团级平台建设路径的规划能力；</w:t>
      </w:r>
    </w:p>
    <w:p w14:paraId="4599DB97">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对关键技术方向、系统架构和数据体系的专业判断能力。</w:t>
      </w:r>
    </w:p>
    <w:p w14:paraId="6E591FD7">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投标方案不应以具体产品功能说明或厂商解决方案推介为主要内容。</w:t>
      </w:r>
    </w:p>
    <w:p w14:paraId="36CAA720">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lang w:val="en-US" w:eastAsia="zh-CN"/>
        </w:rPr>
        <w:t>2.2</w:t>
      </w:r>
      <w:r>
        <w:rPr>
          <w:rFonts w:hint="eastAsia" w:asciiTheme="minorEastAsia" w:hAnsiTheme="minorEastAsia" w:eastAsiaTheme="minorEastAsia"/>
          <w:szCs w:val="24"/>
          <w:highlight w:val="none"/>
        </w:rPr>
        <w:t>.3 设计内容与深度要求</w:t>
      </w:r>
    </w:p>
    <w:p w14:paraId="74B98998">
      <w:pPr>
        <w:spacing w:line="360" w:lineRule="auto"/>
        <w:ind w:firstLine="480" w:firstLineChars="2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投标方应围绕本需求说明书所述内容，提交完整、系统的设计方案，设计成果应至少包括但不限于：</w:t>
      </w:r>
    </w:p>
    <w:p w14:paraId="69F8AFCC">
      <w:pPr>
        <w:spacing w:line="360" w:lineRule="auto"/>
        <w:ind w:firstLine="480" w:firstLineChars="2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(1)项目现状调研与需求理解说明；</w:t>
      </w:r>
    </w:p>
    <w:p w14:paraId="3410D3D9">
      <w:pPr>
        <w:spacing w:line="360" w:lineRule="auto"/>
        <w:ind w:firstLine="480" w:firstLineChars="2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(2)总体业务架构、技术架构与系统分层设计；</w:t>
      </w:r>
    </w:p>
    <w:p w14:paraId="4ACB3BFE">
      <w:pPr>
        <w:spacing w:line="360" w:lineRule="auto"/>
        <w:ind w:firstLine="480" w:firstLineChars="2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(3)各主要业务领域与功能模块的设计思路与实现路径说明；</w:t>
      </w:r>
    </w:p>
    <w:p w14:paraId="4F3A18DB">
      <w:pPr>
        <w:spacing w:line="360" w:lineRule="auto"/>
        <w:ind w:firstLine="480" w:firstLineChars="2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(4)数据架构、数据治理与指标体系设计思路；</w:t>
      </w:r>
    </w:p>
    <w:p w14:paraId="305DD550">
      <w:pPr>
        <w:spacing w:line="360" w:lineRule="auto"/>
        <w:ind w:firstLine="480" w:firstLineChars="2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(5)数字孪生、智能分析与辅助决策能力的规划设计；</w:t>
      </w:r>
    </w:p>
    <w:p w14:paraId="6169BD9B">
      <w:pPr>
        <w:spacing w:line="360" w:lineRule="auto"/>
        <w:ind w:firstLine="480" w:firstLineChars="2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(6)分阶段建设路线图，明确设计成果如何支撑后续实施；</w:t>
      </w:r>
    </w:p>
    <w:p w14:paraId="59384B47">
      <w:pPr>
        <w:spacing w:line="360" w:lineRule="auto"/>
        <w:ind w:firstLine="480" w:firstLineChars="2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(7)风险识别与实施建议（从设计视角提出，以供后续实施招标参考）。</w:t>
      </w:r>
    </w:p>
    <w:p w14:paraId="11BBB0C8">
      <w:pPr>
        <w:spacing w:line="360" w:lineRule="auto"/>
        <w:ind w:firstLine="480" w:firstLineChars="2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设计方案应重点阐述“怎么设计、为什么这样设计”，而非“具体如何实施”。</w:t>
      </w:r>
    </w:p>
    <w:p w14:paraId="37C5155C">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lang w:val="en-US" w:eastAsia="zh-CN"/>
        </w:rPr>
        <w:t>2.2</w:t>
      </w:r>
      <w:r>
        <w:rPr>
          <w:rFonts w:hint="eastAsia" w:asciiTheme="minorEastAsia" w:hAnsiTheme="minorEastAsia" w:eastAsiaTheme="minorEastAsia"/>
          <w:szCs w:val="24"/>
          <w:highlight w:val="none"/>
        </w:rPr>
        <w:t>.4 设计标与实施标边界说明</w:t>
      </w:r>
    </w:p>
    <w:p w14:paraId="08866B94">
      <w:pPr>
        <w:spacing w:line="360" w:lineRule="auto"/>
        <w:ind w:firstLine="480" w:firstLineChars="2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本项目为设计标招标，投标方案中所涉及的系统功能、技术路线、平台能力等内容，均为规划设计层面的研究与建议，不构成对具体系统功能实现效果、性能指标或产品选型的指定。</w:t>
      </w:r>
    </w:p>
    <w:p w14:paraId="53559231">
      <w:pPr>
        <w:spacing w:line="360" w:lineRule="auto"/>
        <w:ind w:firstLine="480" w:firstLineChars="2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具体系统建设方案、产品选型、实施方式及性能指标，将在后续技术方案招标或实施阶段另行明确。</w:t>
      </w:r>
    </w:p>
    <w:p w14:paraId="6DF22DF1">
      <w:pPr>
        <w:spacing w:line="360" w:lineRule="auto"/>
        <w:jc w:val="left"/>
        <w:rPr>
          <w:rFonts w:hint="default" w:asciiTheme="minorEastAsia" w:hAnsiTheme="minorEastAsia" w:eastAsiaTheme="minorEastAsia"/>
          <w:szCs w:val="24"/>
          <w:highlight w:val="none"/>
          <w:lang w:val="en-US" w:eastAsia="zh-CN"/>
        </w:rPr>
      </w:pPr>
      <w:r>
        <w:rPr>
          <w:rFonts w:hint="eastAsia" w:asciiTheme="minorEastAsia" w:hAnsiTheme="minorEastAsia" w:eastAsiaTheme="minorEastAsia"/>
          <w:szCs w:val="24"/>
          <w:highlight w:val="none"/>
          <w:lang w:val="en-US" w:eastAsia="zh-CN"/>
        </w:rPr>
        <w:t>2.2.5</w:t>
      </w:r>
      <w:r>
        <w:rPr>
          <w:rFonts w:hint="eastAsia" w:asciiTheme="minorEastAsia" w:hAnsiTheme="minorEastAsia" w:eastAsiaTheme="minorEastAsia"/>
          <w:highlight w:val="none"/>
        </w:rPr>
        <w:t>具</w:t>
      </w:r>
      <w:r>
        <w:rPr>
          <w:rFonts w:asciiTheme="minorEastAsia" w:hAnsiTheme="minorEastAsia" w:eastAsiaTheme="minorEastAsia"/>
          <w:highlight w:val="none"/>
        </w:rPr>
        <w:t>体要求</w:t>
      </w:r>
      <w:r>
        <w:rPr>
          <w:rFonts w:hint="eastAsia" w:asciiTheme="minorEastAsia" w:hAnsiTheme="minorEastAsia" w:eastAsiaTheme="minorEastAsia"/>
          <w:highlight w:val="none"/>
        </w:rPr>
        <w:t>详</w:t>
      </w:r>
      <w:r>
        <w:rPr>
          <w:rFonts w:asciiTheme="minorEastAsia" w:hAnsiTheme="minorEastAsia" w:eastAsiaTheme="minorEastAsia"/>
          <w:highlight w:val="none"/>
        </w:rPr>
        <w:t>见</w:t>
      </w:r>
      <w:r>
        <w:rPr>
          <w:rFonts w:hint="eastAsia" w:asciiTheme="minorEastAsia" w:hAnsiTheme="minorEastAsia" w:eastAsiaTheme="minorEastAsia"/>
          <w:highlight w:val="none"/>
        </w:rPr>
        <w:t>附件</w:t>
      </w:r>
      <w:r>
        <w:rPr>
          <w:rFonts w:hint="eastAsia" w:asciiTheme="minorEastAsia" w:hAnsiTheme="minorEastAsia" w:eastAsiaTheme="minorEastAsia"/>
          <w:b/>
          <w:bCs/>
          <w:highlight w:val="none"/>
        </w:rPr>
        <w:t>《</w:t>
      </w:r>
      <w:r>
        <w:rPr>
          <w:rFonts w:hint="eastAsia" w:asciiTheme="minorEastAsia" w:hAnsiTheme="minorEastAsia" w:eastAsiaTheme="minorEastAsia"/>
          <w:b/>
          <w:bCs/>
          <w:highlight w:val="none"/>
          <w:lang w:val="en-US" w:eastAsia="zh-CN"/>
        </w:rPr>
        <w:t>设计标需求说明书</w:t>
      </w:r>
      <w:r>
        <w:rPr>
          <w:rFonts w:asciiTheme="minorEastAsia" w:hAnsiTheme="minorEastAsia" w:eastAsiaTheme="minorEastAsia"/>
          <w:b/>
          <w:bCs/>
          <w:highlight w:val="none"/>
        </w:rPr>
        <w:t>》</w:t>
      </w:r>
      <w:r>
        <w:rPr>
          <w:rFonts w:hint="eastAsia" w:asciiTheme="minorEastAsia" w:hAnsiTheme="minorEastAsia" w:eastAsiaTheme="minorEastAsia"/>
          <w:highlight w:val="none"/>
        </w:rPr>
        <w:t>。</w:t>
      </w:r>
    </w:p>
    <w:p w14:paraId="6BA0BB90">
      <w:pPr>
        <w:numPr>
          <w:ilvl w:val="0"/>
          <w:numId w:val="1"/>
        </w:numPr>
        <w:jc w:val="both"/>
        <w:rPr>
          <w:rFonts w:hint="eastAsia" w:asciiTheme="minorEastAsia" w:hAnsiTheme="minorEastAsia" w:eastAsiaTheme="minorEastAsia"/>
          <w:b/>
          <w:szCs w:val="24"/>
          <w:highlight w:val="none"/>
        </w:rPr>
      </w:pPr>
      <w:bookmarkStart w:id="4" w:name="_Toc76215641"/>
      <w:r>
        <w:rPr>
          <w:rFonts w:hint="eastAsia" w:asciiTheme="minorEastAsia" w:hAnsiTheme="minorEastAsia" w:eastAsiaTheme="minorEastAsia"/>
          <w:b/>
          <w:szCs w:val="24"/>
          <w:highlight w:val="none"/>
        </w:rPr>
        <w:t>资金来源</w:t>
      </w:r>
      <w:bookmarkEnd w:id="4"/>
    </w:p>
    <w:p w14:paraId="5CF5C33B">
      <w:pPr>
        <w:numPr>
          <w:ilvl w:val="0"/>
          <w:numId w:val="0"/>
        </w:numPr>
        <w:jc w:val="both"/>
        <w:rPr>
          <w:rFonts w:hint="eastAsia" w:asciiTheme="minorEastAsia" w:hAnsiTheme="minorEastAsia" w:eastAsiaTheme="minorEastAsia"/>
          <w:b/>
          <w:szCs w:val="24"/>
          <w:highlight w:val="none"/>
        </w:rPr>
      </w:pPr>
    </w:p>
    <w:p w14:paraId="63F3AEF8">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3.1资</w:t>
      </w:r>
      <w:r>
        <w:rPr>
          <w:rFonts w:asciiTheme="minorEastAsia" w:hAnsiTheme="minorEastAsia" w:eastAsiaTheme="minorEastAsia"/>
          <w:szCs w:val="24"/>
          <w:highlight w:val="none"/>
        </w:rPr>
        <w:t>金来源</w:t>
      </w:r>
      <w:r>
        <w:rPr>
          <w:rFonts w:hint="eastAsia" w:asciiTheme="minorEastAsia" w:hAnsiTheme="minorEastAsia" w:eastAsiaTheme="minorEastAsia"/>
          <w:szCs w:val="24"/>
          <w:highlight w:val="none"/>
        </w:rPr>
        <w:t>：</w:t>
      </w:r>
      <w:r>
        <w:rPr>
          <w:rFonts w:asciiTheme="minorEastAsia" w:hAnsiTheme="minorEastAsia" w:eastAsiaTheme="minorEastAsia"/>
          <w:szCs w:val="24"/>
          <w:highlight w:val="none"/>
        </w:rPr>
        <w:t>企业自筹。</w:t>
      </w:r>
    </w:p>
    <w:p w14:paraId="7CA6C08B">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3.2资</w:t>
      </w:r>
      <w:r>
        <w:rPr>
          <w:rFonts w:asciiTheme="minorEastAsia" w:hAnsiTheme="minorEastAsia" w:eastAsiaTheme="minorEastAsia"/>
          <w:szCs w:val="24"/>
          <w:highlight w:val="none"/>
        </w:rPr>
        <w:t>金落实情况：筹备完成。</w:t>
      </w:r>
    </w:p>
    <w:p w14:paraId="3BE46857">
      <w:pPr>
        <w:autoSpaceDE w:val="0"/>
        <w:autoSpaceDN w:val="0"/>
        <w:spacing w:before="120" w:after="120" w:afterLines="50" w:line="360" w:lineRule="auto"/>
        <w:jc w:val="left"/>
        <w:outlineLvl w:val="0"/>
        <w:rPr>
          <w:rFonts w:hint="default" w:asciiTheme="minorEastAsia" w:hAnsiTheme="minorEastAsia" w:eastAsiaTheme="minorEastAsia"/>
          <w:b/>
          <w:szCs w:val="24"/>
          <w:highlight w:val="none"/>
          <w:lang w:val="en-US" w:eastAsia="zh-CN"/>
        </w:rPr>
      </w:pPr>
      <w:bookmarkStart w:id="5" w:name="_Toc76215642"/>
      <w:r>
        <w:rPr>
          <w:rFonts w:asciiTheme="minorEastAsia" w:hAnsiTheme="minorEastAsia" w:eastAsiaTheme="minorEastAsia"/>
          <w:b/>
          <w:szCs w:val="24"/>
          <w:highlight w:val="none"/>
        </w:rPr>
        <w:t>4</w:t>
      </w:r>
      <w:r>
        <w:rPr>
          <w:rFonts w:hint="eastAsia" w:asciiTheme="minorEastAsia" w:hAnsiTheme="minorEastAsia" w:eastAsiaTheme="minorEastAsia"/>
          <w:b/>
          <w:szCs w:val="24"/>
          <w:highlight w:val="none"/>
        </w:rPr>
        <w:t>.</w:t>
      </w:r>
      <w:bookmarkEnd w:id="5"/>
      <w:r>
        <w:rPr>
          <w:rFonts w:hint="eastAsia" w:asciiTheme="minorEastAsia" w:hAnsiTheme="minorEastAsia" w:eastAsiaTheme="minorEastAsia"/>
          <w:b/>
          <w:bCs/>
          <w:szCs w:val="24"/>
          <w:highlight w:val="none"/>
        </w:rPr>
        <w:t>项目周期</w:t>
      </w:r>
      <w:r>
        <w:rPr>
          <w:rFonts w:hint="eastAsia" w:asciiTheme="minorEastAsia" w:hAnsiTheme="minorEastAsia" w:eastAsiaTheme="minorEastAsia"/>
          <w:b/>
          <w:bCs/>
          <w:szCs w:val="24"/>
          <w:highlight w:val="none"/>
          <w:lang w:val="en-US" w:eastAsia="zh-CN"/>
        </w:rPr>
        <w:t>及其他</w:t>
      </w:r>
    </w:p>
    <w:p w14:paraId="52422F20">
      <w:pPr>
        <w:spacing w:line="360" w:lineRule="auto"/>
        <w:jc w:val="left"/>
        <w:rPr>
          <w:rFonts w:hint="eastAsia" w:asciiTheme="minorEastAsia" w:hAnsiTheme="minorEastAsia" w:eastAsiaTheme="minorEastAsia"/>
          <w:szCs w:val="24"/>
          <w:highlight w:val="none"/>
        </w:rPr>
      </w:pPr>
      <w:bookmarkStart w:id="6" w:name="_Toc76215643"/>
      <w:r>
        <w:rPr>
          <w:rFonts w:hint="eastAsia" w:asciiTheme="minorEastAsia" w:hAnsiTheme="minorEastAsia" w:eastAsiaTheme="minorEastAsia"/>
          <w:szCs w:val="24"/>
          <w:highlight w:val="none"/>
        </w:rPr>
        <w:t>计划工期： 45 日历天</w:t>
      </w:r>
    </w:p>
    <w:p w14:paraId="60072F2A">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lang w:val="en-US" w:eastAsia="zh-CN"/>
        </w:rPr>
        <w:t>4</w:t>
      </w:r>
      <w:r>
        <w:rPr>
          <w:rFonts w:hint="eastAsia" w:asciiTheme="minorEastAsia" w:hAnsiTheme="minorEastAsia" w:eastAsiaTheme="minorEastAsia"/>
          <w:szCs w:val="24"/>
          <w:highlight w:val="none"/>
        </w:rPr>
        <w:t>.1 项目周期要求</w:t>
      </w:r>
    </w:p>
    <w:p w14:paraId="1E20900F">
      <w:pPr>
        <w:spacing w:line="360" w:lineRule="auto"/>
        <w:ind w:firstLine="480" w:firstLineChars="2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中标方应在合同签订后 45 日内 完成设计方案编制，并提交完整设计成果，配合甲方完成评审工作。</w:t>
      </w:r>
    </w:p>
    <w:p w14:paraId="3D324348">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lang w:val="en-US" w:eastAsia="zh-CN"/>
        </w:rPr>
        <w:t>4</w:t>
      </w:r>
      <w:r>
        <w:rPr>
          <w:rFonts w:hint="eastAsia" w:asciiTheme="minorEastAsia" w:hAnsiTheme="minorEastAsia" w:eastAsiaTheme="minorEastAsia"/>
          <w:szCs w:val="24"/>
          <w:highlight w:val="none"/>
        </w:rPr>
        <w:t>.2 服务与沟通要求</w:t>
      </w:r>
    </w:p>
    <w:p w14:paraId="5CC6BBD8">
      <w:pPr>
        <w:spacing w:line="360" w:lineRule="auto"/>
        <w:ind w:firstLine="240" w:firstLineChars="1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中标方在设计阶段需配合朗坤科技完成以下工作：</w:t>
      </w:r>
    </w:p>
    <w:p w14:paraId="0D3CC96C">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不少于 3 次设计方案汇报与交流；</w:t>
      </w:r>
    </w:p>
    <w:p w14:paraId="4A590616">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配合组织专家评审，并根据评审意见完成不少于 3 轮方案优化；</w:t>
      </w:r>
    </w:p>
    <w:p w14:paraId="49662DF4">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提供必要的设计说明与答疑支持。</w:t>
      </w:r>
    </w:p>
    <w:p w14:paraId="7096F204">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lang w:val="en-US" w:eastAsia="zh-CN"/>
        </w:rPr>
        <w:t>4</w:t>
      </w:r>
      <w:r>
        <w:rPr>
          <w:rFonts w:hint="eastAsia" w:asciiTheme="minorEastAsia" w:hAnsiTheme="minorEastAsia" w:eastAsiaTheme="minorEastAsia"/>
          <w:szCs w:val="24"/>
          <w:highlight w:val="none"/>
        </w:rPr>
        <w:t>.3 知识产权与成果归属</w:t>
      </w:r>
    </w:p>
    <w:p w14:paraId="1878B15E">
      <w:pPr>
        <w:spacing w:line="360" w:lineRule="auto"/>
        <w:ind w:firstLine="480" w:firstLineChars="2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本项目设计成果的知识产权归朗坤科技所有。中标方应向甲方提供完整的设计交付物，包括但不限于：</w:t>
      </w:r>
    </w:p>
    <w:p w14:paraId="02FE3AF8">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w:t>
      </w:r>
      <w:r>
        <w:rPr>
          <w:rFonts w:hint="eastAsia" w:asciiTheme="minorEastAsia" w:hAnsiTheme="minorEastAsia" w:eastAsiaTheme="minorEastAsia"/>
          <w:szCs w:val="24"/>
          <w:highlight w:val="none"/>
          <w:lang w:val="en-US" w:eastAsia="zh-CN"/>
        </w:rPr>
        <w:t xml:space="preserve"> </w:t>
      </w:r>
      <w:r>
        <w:rPr>
          <w:rFonts w:hint="eastAsia" w:asciiTheme="minorEastAsia" w:hAnsiTheme="minorEastAsia" w:eastAsiaTheme="minorEastAsia"/>
          <w:szCs w:val="24"/>
          <w:highlight w:val="none"/>
        </w:rPr>
        <w:t>设计方案全文及相关技术文档；</w:t>
      </w:r>
    </w:p>
    <w:p w14:paraId="6E90607F">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w:t>
      </w:r>
      <w:r>
        <w:rPr>
          <w:rFonts w:hint="eastAsia" w:asciiTheme="minorEastAsia" w:hAnsiTheme="minorEastAsia" w:eastAsiaTheme="minorEastAsia"/>
          <w:szCs w:val="24"/>
          <w:highlight w:val="none"/>
          <w:lang w:val="en-US" w:eastAsia="zh-CN"/>
        </w:rPr>
        <w:t xml:space="preserve"> </w:t>
      </w:r>
      <w:r>
        <w:rPr>
          <w:rFonts w:hint="eastAsia" w:asciiTheme="minorEastAsia" w:hAnsiTheme="minorEastAsia" w:eastAsiaTheme="minorEastAsia"/>
          <w:szCs w:val="24"/>
          <w:highlight w:val="none"/>
        </w:rPr>
        <w:t>关键设计思路、方法论与技术路线说明；</w:t>
      </w:r>
    </w:p>
    <w:p w14:paraId="2CDB82E7">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w:t>
      </w:r>
      <w:r>
        <w:rPr>
          <w:rFonts w:hint="eastAsia" w:asciiTheme="minorEastAsia" w:hAnsiTheme="minorEastAsia" w:eastAsiaTheme="minorEastAsia"/>
          <w:szCs w:val="24"/>
          <w:highlight w:val="none"/>
          <w:lang w:val="en-US" w:eastAsia="zh-CN"/>
        </w:rPr>
        <w:t xml:space="preserve"> </w:t>
      </w:r>
      <w:r>
        <w:rPr>
          <w:rFonts w:hint="eastAsia" w:asciiTheme="minorEastAsia" w:hAnsiTheme="minorEastAsia" w:eastAsiaTheme="minorEastAsia"/>
          <w:szCs w:val="24"/>
          <w:highlight w:val="none"/>
        </w:rPr>
        <w:t>所涉及第三方技术或方法的授权使用说明。</w:t>
      </w:r>
    </w:p>
    <w:p w14:paraId="53CFFC27">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lang w:val="en-US" w:eastAsia="zh-CN"/>
        </w:rPr>
        <w:t>4</w:t>
      </w:r>
      <w:r>
        <w:rPr>
          <w:rFonts w:hint="eastAsia" w:asciiTheme="minorEastAsia" w:hAnsiTheme="minorEastAsia" w:eastAsiaTheme="minorEastAsia"/>
          <w:szCs w:val="24"/>
          <w:highlight w:val="none"/>
        </w:rPr>
        <w:t>.4 技术交底与后续支持说明</w:t>
      </w:r>
    </w:p>
    <w:p w14:paraId="62848B38">
      <w:pPr>
        <w:spacing w:line="360" w:lineRule="auto"/>
        <w:ind w:firstLine="480" w:firstLineChars="2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中标方应在设计成果交付后，配合甲方完成必要的设计成果说明与技术交底工作，以确保设计意图与总体架构得到准确理解。本条内容仅限于设计成果交付与说明层面，不构成对后续系统实施、产品采购或实施服务的约束或承诺。</w:t>
      </w:r>
    </w:p>
    <w:p w14:paraId="25DF1F84">
      <w:pPr>
        <w:spacing w:line="360" w:lineRule="auto"/>
        <w:jc w:val="left"/>
        <w:rPr>
          <w:rFonts w:hint="eastAsia" w:asciiTheme="minorEastAsia" w:hAnsiTheme="minorEastAsia" w:eastAsiaTheme="minorEastAsia"/>
          <w:b/>
          <w:szCs w:val="24"/>
          <w:highlight w:val="none"/>
        </w:rPr>
      </w:pPr>
      <w:r>
        <w:rPr>
          <w:rFonts w:asciiTheme="minorEastAsia" w:hAnsiTheme="minorEastAsia" w:eastAsiaTheme="minorEastAsia"/>
          <w:b/>
          <w:szCs w:val="24"/>
          <w:highlight w:val="none"/>
        </w:rPr>
        <w:t>5</w:t>
      </w:r>
      <w:r>
        <w:rPr>
          <w:rFonts w:hint="eastAsia" w:asciiTheme="minorEastAsia" w:hAnsiTheme="minorEastAsia" w:eastAsiaTheme="minorEastAsia"/>
          <w:b/>
          <w:szCs w:val="24"/>
          <w:highlight w:val="none"/>
        </w:rPr>
        <w:t>.</w:t>
      </w:r>
      <w:bookmarkEnd w:id="6"/>
      <w:r>
        <w:rPr>
          <w:rFonts w:hint="eastAsia" w:asciiTheme="minorEastAsia" w:hAnsiTheme="minorEastAsia" w:eastAsiaTheme="minorEastAsia"/>
          <w:b/>
          <w:szCs w:val="24"/>
          <w:highlight w:val="none"/>
        </w:rPr>
        <w:t>设计成果验收与评审标准</w:t>
      </w:r>
    </w:p>
    <w:p w14:paraId="73AA462B">
      <w:pPr>
        <w:spacing w:line="360" w:lineRule="auto"/>
        <w:jc w:val="left"/>
        <w:rPr>
          <w:rFonts w:hint="eastAsia" w:asciiTheme="minorEastAsia" w:hAnsiTheme="minorEastAsia" w:eastAsiaTheme="minorEastAsia"/>
          <w:b w:val="0"/>
          <w:bCs/>
          <w:szCs w:val="24"/>
          <w:highlight w:val="none"/>
        </w:rPr>
      </w:pPr>
      <w:r>
        <w:rPr>
          <w:rFonts w:hint="eastAsia" w:asciiTheme="minorEastAsia" w:hAnsiTheme="minorEastAsia" w:eastAsiaTheme="minorEastAsia"/>
          <w:b w:val="0"/>
          <w:bCs/>
          <w:szCs w:val="24"/>
          <w:highlight w:val="none"/>
          <w:lang w:val="en-US" w:eastAsia="zh-CN"/>
        </w:rPr>
        <w:t>5</w:t>
      </w:r>
      <w:r>
        <w:rPr>
          <w:rFonts w:hint="eastAsia" w:asciiTheme="minorEastAsia" w:hAnsiTheme="minorEastAsia" w:eastAsiaTheme="minorEastAsia"/>
          <w:b w:val="0"/>
          <w:bCs/>
          <w:szCs w:val="24"/>
          <w:highlight w:val="none"/>
        </w:rPr>
        <w:t>.1 验收总体原则</w:t>
      </w:r>
    </w:p>
    <w:p w14:paraId="73C88FF3">
      <w:pPr>
        <w:spacing w:line="360" w:lineRule="auto"/>
        <w:ind w:firstLine="480" w:firstLineChars="200"/>
        <w:jc w:val="left"/>
        <w:rPr>
          <w:rFonts w:hint="eastAsia" w:asciiTheme="minorEastAsia" w:hAnsiTheme="minorEastAsia" w:eastAsiaTheme="minorEastAsia"/>
          <w:b w:val="0"/>
          <w:bCs/>
          <w:szCs w:val="24"/>
          <w:highlight w:val="none"/>
        </w:rPr>
      </w:pPr>
      <w:r>
        <w:rPr>
          <w:rFonts w:hint="eastAsia" w:asciiTheme="minorEastAsia" w:hAnsiTheme="minorEastAsia" w:eastAsiaTheme="minorEastAsia"/>
          <w:b w:val="0"/>
          <w:bCs/>
          <w:szCs w:val="24"/>
          <w:highlight w:val="none"/>
        </w:rPr>
        <w:t>本项目验收对象为设计成果，验收以方案评审方式进行，不涉及系统上线、功能测试或运行效果验收。</w:t>
      </w:r>
    </w:p>
    <w:p w14:paraId="38C4A7B9">
      <w:pPr>
        <w:spacing w:line="360" w:lineRule="auto"/>
        <w:ind w:firstLine="480" w:firstLineChars="200"/>
        <w:jc w:val="left"/>
        <w:rPr>
          <w:rFonts w:hint="eastAsia" w:asciiTheme="minorEastAsia" w:hAnsiTheme="minorEastAsia" w:eastAsiaTheme="minorEastAsia"/>
          <w:b w:val="0"/>
          <w:bCs/>
          <w:szCs w:val="24"/>
          <w:highlight w:val="none"/>
        </w:rPr>
      </w:pPr>
      <w:r>
        <w:rPr>
          <w:rFonts w:hint="eastAsia" w:asciiTheme="minorEastAsia" w:hAnsiTheme="minorEastAsia" w:eastAsiaTheme="minorEastAsia"/>
          <w:b w:val="0"/>
          <w:bCs/>
          <w:szCs w:val="24"/>
          <w:highlight w:val="none"/>
        </w:rPr>
        <w:t>设计成果应通过朗坤科技集团组织的业务、技术及管理相关部门的联合评审。</w:t>
      </w:r>
    </w:p>
    <w:p w14:paraId="0729839A">
      <w:pPr>
        <w:spacing w:line="360" w:lineRule="auto"/>
        <w:jc w:val="left"/>
        <w:rPr>
          <w:rFonts w:hint="eastAsia" w:asciiTheme="minorEastAsia" w:hAnsiTheme="minorEastAsia" w:eastAsiaTheme="minorEastAsia"/>
          <w:b w:val="0"/>
          <w:bCs/>
          <w:szCs w:val="24"/>
          <w:highlight w:val="none"/>
        </w:rPr>
      </w:pPr>
      <w:r>
        <w:rPr>
          <w:rFonts w:hint="eastAsia" w:asciiTheme="minorEastAsia" w:hAnsiTheme="minorEastAsia" w:eastAsiaTheme="minorEastAsia"/>
          <w:b w:val="0"/>
          <w:bCs/>
          <w:szCs w:val="24"/>
          <w:highlight w:val="none"/>
          <w:lang w:val="en-US" w:eastAsia="zh-CN"/>
        </w:rPr>
        <w:t>5</w:t>
      </w:r>
      <w:r>
        <w:rPr>
          <w:rFonts w:hint="eastAsia" w:asciiTheme="minorEastAsia" w:hAnsiTheme="minorEastAsia" w:eastAsiaTheme="minorEastAsia"/>
          <w:b w:val="0"/>
          <w:bCs/>
          <w:szCs w:val="24"/>
          <w:highlight w:val="none"/>
        </w:rPr>
        <w:t>.2 设计成果验收标准</w:t>
      </w:r>
    </w:p>
    <w:p w14:paraId="3D6B72D9">
      <w:pPr>
        <w:spacing w:line="360" w:lineRule="auto"/>
        <w:ind w:firstLine="480" w:firstLineChars="200"/>
        <w:jc w:val="left"/>
        <w:rPr>
          <w:rFonts w:hint="eastAsia" w:asciiTheme="minorEastAsia" w:hAnsiTheme="minorEastAsia" w:eastAsiaTheme="minorEastAsia"/>
          <w:b w:val="0"/>
          <w:bCs/>
          <w:szCs w:val="24"/>
          <w:highlight w:val="none"/>
        </w:rPr>
      </w:pPr>
      <w:r>
        <w:rPr>
          <w:rFonts w:hint="eastAsia" w:asciiTheme="minorEastAsia" w:hAnsiTheme="minorEastAsia" w:eastAsiaTheme="minorEastAsia"/>
          <w:b w:val="0"/>
          <w:bCs/>
          <w:szCs w:val="24"/>
          <w:highlight w:val="none"/>
        </w:rPr>
        <w:t>设计成果评审将重点从以下维度进行：</w:t>
      </w:r>
    </w:p>
    <w:p w14:paraId="1FAE236D">
      <w:pPr>
        <w:spacing w:line="360" w:lineRule="auto"/>
        <w:ind w:firstLine="240" w:firstLineChars="100"/>
        <w:jc w:val="left"/>
        <w:rPr>
          <w:rFonts w:hint="eastAsia" w:asciiTheme="minorEastAsia" w:hAnsiTheme="minorEastAsia" w:eastAsiaTheme="minorEastAsia"/>
          <w:b w:val="0"/>
          <w:bCs/>
          <w:szCs w:val="24"/>
          <w:highlight w:val="none"/>
        </w:rPr>
      </w:pPr>
      <w:r>
        <w:rPr>
          <w:rFonts w:hint="eastAsia" w:asciiTheme="minorEastAsia" w:hAnsiTheme="minorEastAsia" w:eastAsiaTheme="minorEastAsia"/>
          <w:b w:val="0"/>
          <w:bCs/>
          <w:szCs w:val="24"/>
          <w:highlight w:val="none"/>
        </w:rPr>
        <w:t>（1）完整性</w:t>
      </w:r>
    </w:p>
    <w:p w14:paraId="70B0F135">
      <w:pPr>
        <w:spacing w:line="360" w:lineRule="auto"/>
        <w:ind w:firstLine="480" w:firstLineChars="200"/>
        <w:jc w:val="left"/>
        <w:rPr>
          <w:rFonts w:hint="eastAsia" w:asciiTheme="minorEastAsia" w:hAnsiTheme="minorEastAsia" w:eastAsiaTheme="minorEastAsia"/>
          <w:b w:val="0"/>
          <w:bCs/>
          <w:szCs w:val="24"/>
          <w:highlight w:val="none"/>
        </w:rPr>
      </w:pPr>
      <w:r>
        <w:rPr>
          <w:rFonts w:hint="eastAsia" w:asciiTheme="minorEastAsia" w:hAnsiTheme="minorEastAsia" w:eastAsiaTheme="minorEastAsia"/>
          <w:b w:val="0"/>
          <w:bCs/>
          <w:szCs w:val="24"/>
          <w:highlight w:val="none"/>
        </w:rPr>
        <w:t>设计方案应完整覆盖本需求说明书中提出的设计范围、核心业务场景及主要功能模块，逻辑清晰、结构完整，能够形成可执行的总体设计蓝图。</w:t>
      </w:r>
    </w:p>
    <w:p w14:paraId="251BE07A">
      <w:pPr>
        <w:spacing w:line="360" w:lineRule="auto"/>
        <w:ind w:firstLine="240" w:firstLineChars="100"/>
        <w:jc w:val="left"/>
        <w:rPr>
          <w:rFonts w:hint="eastAsia" w:asciiTheme="minorEastAsia" w:hAnsiTheme="minorEastAsia" w:eastAsiaTheme="minorEastAsia"/>
          <w:b w:val="0"/>
          <w:bCs/>
          <w:szCs w:val="24"/>
          <w:highlight w:val="none"/>
        </w:rPr>
      </w:pPr>
      <w:r>
        <w:rPr>
          <w:rFonts w:hint="eastAsia" w:asciiTheme="minorEastAsia" w:hAnsiTheme="minorEastAsia" w:eastAsiaTheme="minorEastAsia"/>
          <w:b w:val="0"/>
          <w:bCs/>
          <w:szCs w:val="24"/>
          <w:highlight w:val="none"/>
        </w:rPr>
        <w:t>（2）前瞻性与扩展性</w:t>
      </w:r>
    </w:p>
    <w:p w14:paraId="6EC16DF1">
      <w:pPr>
        <w:spacing w:line="360" w:lineRule="auto"/>
        <w:ind w:firstLine="480" w:firstLineChars="200"/>
        <w:jc w:val="left"/>
        <w:rPr>
          <w:rFonts w:hint="eastAsia" w:asciiTheme="minorEastAsia" w:hAnsiTheme="minorEastAsia" w:eastAsiaTheme="minorEastAsia"/>
          <w:b w:val="0"/>
          <w:bCs/>
          <w:szCs w:val="24"/>
          <w:highlight w:val="none"/>
        </w:rPr>
      </w:pPr>
      <w:r>
        <w:rPr>
          <w:rFonts w:hint="eastAsia" w:asciiTheme="minorEastAsia" w:hAnsiTheme="minorEastAsia" w:eastAsiaTheme="minorEastAsia"/>
          <w:b w:val="0"/>
          <w:bCs/>
          <w:szCs w:val="24"/>
          <w:highlight w:val="none"/>
        </w:rPr>
        <w:t>总体架构与设计思路应体现先进性与开放性，能够支撑朗坤科技中长期（5年以上）业务发展及技术演进需求，具备良好的扩展空间与演进路径。</w:t>
      </w:r>
    </w:p>
    <w:p w14:paraId="7B8ADF93">
      <w:pPr>
        <w:spacing w:line="360" w:lineRule="auto"/>
        <w:ind w:firstLine="240" w:firstLineChars="100"/>
        <w:jc w:val="left"/>
        <w:rPr>
          <w:rFonts w:hint="eastAsia" w:asciiTheme="minorEastAsia" w:hAnsiTheme="minorEastAsia" w:eastAsiaTheme="minorEastAsia"/>
          <w:b w:val="0"/>
          <w:bCs/>
          <w:szCs w:val="24"/>
          <w:highlight w:val="none"/>
        </w:rPr>
      </w:pPr>
      <w:r>
        <w:rPr>
          <w:rFonts w:hint="eastAsia" w:asciiTheme="minorEastAsia" w:hAnsiTheme="minorEastAsia" w:eastAsiaTheme="minorEastAsia"/>
          <w:b w:val="0"/>
          <w:bCs/>
          <w:szCs w:val="24"/>
          <w:highlight w:val="none"/>
        </w:rPr>
        <w:t>（3）可行性与适配性</w:t>
      </w:r>
    </w:p>
    <w:p w14:paraId="49DC275F">
      <w:pPr>
        <w:spacing w:line="360" w:lineRule="auto"/>
        <w:ind w:firstLine="480" w:firstLineChars="200"/>
        <w:jc w:val="left"/>
        <w:rPr>
          <w:rFonts w:hint="eastAsia" w:asciiTheme="minorEastAsia" w:hAnsiTheme="minorEastAsia" w:eastAsiaTheme="minorEastAsia"/>
          <w:b w:val="0"/>
          <w:bCs/>
          <w:szCs w:val="24"/>
          <w:highlight w:val="none"/>
        </w:rPr>
      </w:pPr>
      <w:r>
        <w:rPr>
          <w:rFonts w:hint="eastAsia" w:asciiTheme="minorEastAsia" w:hAnsiTheme="minorEastAsia" w:eastAsiaTheme="minorEastAsia"/>
          <w:b w:val="0"/>
          <w:bCs/>
          <w:szCs w:val="24"/>
          <w:highlight w:val="none"/>
        </w:rPr>
        <w:t>设计方案应在技术上可行、在业务上适用，能够与现有生产系统、管理体系及组织能力相匹配，并通过业务部门、技术部门及必要的外部专家评审。</w:t>
      </w:r>
    </w:p>
    <w:p w14:paraId="53530DC2">
      <w:pPr>
        <w:spacing w:line="360" w:lineRule="auto"/>
        <w:ind w:firstLine="240" w:firstLineChars="100"/>
        <w:jc w:val="left"/>
        <w:rPr>
          <w:rFonts w:hint="eastAsia" w:asciiTheme="minorEastAsia" w:hAnsiTheme="minorEastAsia" w:eastAsiaTheme="minorEastAsia"/>
          <w:b w:val="0"/>
          <w:bCs/>
          <w:szCs w:val="24"/>
          <w:highlight w:val="none"/>
        </w:rPr>
      </w:pPr>
      <w:r>
        <w:rPr>
          <w:rFonts w:hint="eastAsia" w:asciiTheme="minorEastAsia" w:hAnsiTheme="minorEastAsia" w:eastAsiaTheme="minorEastAsia"/>
          <w:b w:val="0"/>
          <w:bCs/>
          <w:szCs w:val="24"/>
          <w:highlight w:val="none"/>
        </w:rPr>
        <w:t>（4）标准化与规范性</w:t>
      </w:r>
    </w:p>
    <w:p w14:paraId="02D565E1">
      <w:pPr>
        <w:spacing w:line="360" w:lineRule="auto"/>
        <w:ind w:firstLine="480" w:firstLineChars="200"/>
        <w:jc w:val="left"/>
        <w:rPr>
          <w:rFonts w:hint="eastAsia" w:asciiTheme="minorEastAsia" w:hAnsiTheme="minorEastAsia" w:eastAsiaTheme="minorEastAsia"/>
          <w:b w:val="0"/>
          <w:bCs/>
          <w:szCs w:val="24"/>
          <w:highlight w:val="none"/>
        </w:rPr>
      </w:pPr>
      <w:r>
        <w:rPr>
          <w:rFonts w:hint="eastAsia" w:asciiTheme="minorEastAsia" w:hAnsiTheme="minorEastAsia" w:eastAsiaTheme="minorEastAsia"/>
          <w:b w:val="0"/>
          <w:bCs/>
          <w:szCs w:val="24"/>
          <w:highlight w:val="none"/>
        </w:rPr>
        <w:t>数据模型、指标体系、系统架构设计应符合国家及行业相关标准，并满足集团统一管理与数据治理要求。</w:t>
      </w:r>
    </w:p>
    <w:p w14:paraId="1B1AC76F">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7" w:name="_Toc470006775"/>
      <w:bookmarkStart w:id="8" w:name="_Toc76215644"/>
      <w:r>
        <w:rPr>
          <w:rFonts w:hint="eastAsia" w:asciiTheme="minorEastAsia" w:hAnsiTheme="minorEastAsia" w:eastAsiaTheme="minorEastAsia"/>
          <w:b/>
          <w:szCs w:val="24"/>
          <w:highlight w:val="none"/>
        </w:rPr>
        <w:t>6</w:t>
      </w:r>
      <w:r>
        <w:rPr>
          <w:rFonts w:asciiTheme="minorEastAsia" w:hAnsiTheme="minorEastAsia" w:eastAsiaTheme="minorEastAsia"/>
          <w:b/>
          <w:szCs w:val="24"/>
          <w:highlight w:val="none"/>
        </w:rPr>
        <w:t>.投标人资格要求</w:t>
      </w:r>
      <w:bookmarkEnd w:id="7"/>
      <w:bookmarkEnd w:id="8"/>
    </w:p>
    <w:p w14:paraId="1095BC4E">
      <w:pPr>
        <w:spacing w:line="360" w:lineRule="auto"/>
        <w:ind w:firstLine="240" w:firstLineChars="100"/>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投标人应具备以下能力与经验：</w:t>
      </w:r>
    </w:p>
    <w:p w14:paraId="379CFF31">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具备大型智慧工厂、工业互联网或集团级数智化平台的规划设计经验；</w:t>
      </w:r>
    </w:p>
    <w:p w14:paraId="1BEF2AEB">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具备工业领域大模型平台、知识图谱、智能问答系统的规划设计或实施经验，能提供相关案例说明；</w:t>
      </w:r>
    </w:p>
    <w:p w14:paraId="53C984E1">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熟悉工业生产场景，具备流程工业或资源化利用相关项目经验者优先；</w:t>
      </w:r>
    </w:p>
    <w:p w14:paraId="437E2986">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具备跨业务、跨系统、跨层级的系统设计与整合能力；</w:t>
      </w:r>
    </w:p>
    <w:p w14:paraId="0C3E698F">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能够提供相关设计或咨询类项目案例作为支撑材料。</w:t>
      </w:r>
    </w:p>
    <w:p w14:paraId="3CA7D14F">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有设计咨询合同金额超过100万业绩，提供合同复印件。</w:t>
      </w:r>
      <w:r>
        <w:rPr>
          <w:rFonts w:asciiTheme="minorEastAsia" w:hAnsiTheme="minorEastAsia" w:eastAsiaTheme="minorEastAsia"/>
          <w:szCs w:val="24"/>
          <w:highlight w:val="none"/>
        </w:rPr>
        <w:t>。</w:t>
      </w:r>
    </w:p>
    <w:p w14:paraId="1F9F135E">
      <w:pPr>
        <w:spacing w:line="360" w:lineRule="auto"/>
        <w:ind w:firstLine="240" w:firstLineChars="100"/>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持有有效资质证件，处于正常营业期内的独立法人或独立经营主体</w:t>
      </w:r>
      <w:r>
        <w:rPr>
          <w:rFonts w:hint="eastAsia" w:asciiTheme="minorEastAsia" w:hAnsiTheme="minorEastAsia" w:eastAsiaTheme="minorEastAsia"/>
          <w:szCs w:val="24"/>
          <w:highlight w:val="none"/>
        </w:rPr>
        <w:t>。</w:t>
      </w:r>
    </w:p>
    <w:p w14:paraId="65BBD138">
      <w:pPr>
        <w:spacing w:line="360" w:lineRule="auto"/>
        <w:ind w:firstLine="240" w:firstLineChars="100"/>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能按照招标方要求提供相关的证明文件和手续</w:t>
      </w:r>
      <w:r>
        <w:rPr>
          <w:rFonts w:hint="eastAsia" w:asciiTheme="minorEastAsia" w:hAnsiTheme="minorEastAsia" w:eastAsiaTheme="minorEastAsia"/>
          <w:szCs w:val="24"/>
          <w:highlight w:val="none"/>
        </w:rPr>
        <w:t>。</w:t>
      </w:r>
    </w:p>
    <w:p w14:paraId="6C1C7C2C">
      <w:pPr>
        <w:spacing w:line="360" w:lineRule="auto"/>
        <w:ind w:firstLine="240" w:firstLineChars="100"/>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具有良好的银行资信和商业信誉，没有处于被责令停业、财产被接管、冻结、破产和重组状态。</w:t>
      </w:r>
    </w:p>
    <w:p w14:paraId="01CC7685">
      <w:pPr>
        <w:spacing w:line="360" w:lineRule="auto"/>
        <w:ind w:firstLine="240" w:firstLineChars="100"/>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招标</w:t>
      </w:r>
      <w:r>
        <w:rPr>
          <w:rFonts w:hint="eastAsia" w:asciiTheme="minorEastAsia" w:hAnsiTheme="minorEastAsia" w:eastAsiaTheme="minorEastAsia"/>
          <w:szCs w:val="24"/>
          <w:highlight w:val="none"/>
        </w:rPr>
        <w:t>人</w:t>
      </w:r>
      <w:r>
        <w:rPr>
          <w:rFonts w:asciiTheme="minorEastAsia" w:hAnsiTheme="minorEastAsia" w:eastAsiaTheme="minorEastAsia"/>
          <w:szCs w:val="24"/>
          <w:highlight w:val="none"/>
        </w:rPr>
        <w:t>认为需满足的其它条件</w:t>
      </w:r>
      <w:r>
        <w:rPr>
          <w:rFonts w:hint="eastAsia" w:asciiTheme="minorEastAsia" w:hAnsiTheme="minorEastAsia" w:eastAsiaTheme="minorEastAsia"/>
          <w:szCs w:val="24"/>
          <w:highlight w:val="none"/>
        </w:rPr>
        <w:t>。</w:t>
      </w:r>
    </w:p>
    <w:p w14:paraId="72032064">
      <w:pPr>
        <w:spacing w:line="360" w:lineRule="auto"/>
        <w:ind w:firstLine="240" w:firstLineChars="100"/>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收到招标邀请并不代表受邀方完全具备合格投标资格。</w:t>
      </w:r>
    </w:p>
    <w:p w14:paraId="571170F2">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9" w:name="_Toc76215645"/>
      <w:r>
        <w:rPr>
          <w:rFonts w:asciiTheme="minorEastAsia" w:hAnsiTheme="minorEastAsia" w:eastAsiaTheme="minorEastAsia"/>
          <w:b/>
          <w:szCs w:val="24"/>
          <w:highlight w:val="none"/>
        </w:rPr>
        <w:t>7</w:t>
      </w:r>
      <w:r>
        <w:rPr>
          <w:rFonts w:hint="eastAsia" w:asciiTheme="minorEastAsia" w:hAnsiTheme="minorEastAsia" w:eastAsiaTheme="minorEastAsia"/>
          <w:b/>
          <w:szCs w:val="24"/>
          <w:highlight w:val="none"/>
        </w:rPr>
        <w:t>.招</w:t>
      </w:r>
      <w:r>
        <w:rPr>
          <w:rFonts w:asciiTheme="minorEastAsia" w:hAnsiTheme="minorEastAsia" w:eastAsiaTheme="minorEastAsia"/>
          <w:b/>
          <w:szCs w:val="24"/>
          <w:highlight w:val="none"/>
        </w:rPr>
        <w:t>标</w:t>
      </w:r>
      <w:r>
        <w:rPr>
          <w:rFonts w:hint="eastAsia" w:asciiTheme="minorEastAsia" w:hAnsiTheme="minorEastAsia" w:eastAsiaTheme="minorEastAsia"/>
          <w:b/>
          <w:szCs w:val="24"/>
          <w:highlight w:val="none"/>
        </w:rPr>
        <w:t>文</w:t>
      </w:r>
      <w:r>
        <w:rPr>
          <w:rFonts w:asciiTheme="minorEastAsia" w:hAnsiTheme="minorEastAsia" w:eastAsiaTheme="minorEastAsia"/>
          <w:b/>
          <w:szCs w:val="24"/>
          <w:highlight w:val="none"/>
        </w:rPr>
        <w:t>件出</w:t>
      </w:r>
      <w:r>
        <w:rPr>
          <w:rFonts w:hint="eastAsia" w:asciiTheme="minorEastAsia" w:hAnsiTheme="minorEastAsia" w:eastAsiaTheme="minorEastAsia"/>
          <w:b/>
          <w:szCs w:val="24"/>
          <w:highlight w:val="none"/>
        </w:rPr>
        <w:t>售</w:t>
      </w:r>
      <w:r>
        <w:rPr>
          <w:rFonts w:asciiTheme="minorEastAsia" w:hAnsiTheme="minorEastAsia" w:eastAsiaTheme="minorEastAsia"/>
          <w:b/>
          <w:szCs w:val="24"/>
          <w:highlight w:val="none"/>
        </w:rPr>
        <w:t>时间</w:t>
      </w:r>
      <w:bookmarkEnd w:id="9"/>
    </w:p>
    <w:p w14:paraId="33FA0343">
      <w:pPr>
        <w:spacing w:line="360" w:lineRule="auto"/>
        <w:ind w:firstLine="240" w:firstLineChars="100"/>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自</w:t>
      </w:r>
      <w:r>
        <w:rPr>
          <w:rFonts w:hint="eastAsia" w:asciiTheme="minorEastAsia" w:hAnsiTheme="minorEastAsia" w:eastAsiaTheme="minorEastAsia"/>
          <w:szCs w:val="24"/>
          <w:highlight w:val="none"/>
        </w:rPr>
        <w:t>20</w:t>
      </w:r>
      <w:r>
        <w:rPr>
          <w:rFonts w:asciiTheme="minorEastAsia" w:hAnsiTheme="minorEastAsia" w:eastAsiaTheme="minorEastAsia"/>
          <w:szCs w:val="24"/>
          <w:highlight w:val="none"/>
        </w:rPr>
        <w:t>2</w:t>
      </w:r>
      <w:r>
        <w:rPr>
          <w:rFonts w:hint="eastAsia" w:asciiTheme="minorEastAsia" w:hAnsiTheme="minorEastAsia" w:eastAsiaTheme="minorEastAsia"/>
          <w:szCs w:val="24"/>
          <w:highlight w:val="none"/>
          <w:lang w:val="en-US" w:eastAsia="zh-CN"/>
        </w:rPr>
        <w:t>6</w:t>
      </w:r>
      <w:r>
        <w:rPr>
          <w:rFonts w:hint="eastAsia" w:asciiTheme="minorEastAsia" w:hAnsiTheme="minorEastAsia" w:eastAsiaTheme="minorEastAsia"/>
          <w:szCs w:val="24"/>
          <w:highlight w:val="none"/>
        </w:rPr>
        <w:t>年</w:t>
      </w:r>
      <w:r>
        <w:rPr>
          <w:rFonts w:hint="eastAsia" w:asciiTheme="minorEastAsia" w:hAnsiTheme="minorEastAsia" w:eastAsiaTheme="minorEastAsia"/>
          <w:szCs w:val="24"/>
          <w:highlight w:val="none"/>
          <w:lang w:val="en-US" w:eastAsia="zh-CN"/>
        </w:rPr>
        <w:t>2</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10</w:t>
      </w:r>
      <w:r>
        <w:rPr>
          <w:rFonts w:hint="eastAsia" w:asciiTheme="minorEastAsia" w:hAnsiTheme="minorEastAsia" w:eastAsiaTheme="minorEastAsia"/>
          <w:szCs w:val="24"/>
          <w:highlight w:val="none"/>
        </w:rPr>
        <w:t>日</w:t>
      </w:r>
      <w:r>
        <w:rPr>
          <w:rFonts w:asciiTheme="minorEastAsia" w:hAnsiTheme="minorEastAsia" w:eastAsiaTheme="minorEastAsia"/>
          <w:szCs w:val="24"/>
          <w:highlight w:val="none"/>
        </w:rPr>
        <w:t>-</w:t>
      </w:r>
      <w:r>
        <w:rPr>
          <w:rFonts w:hint="eastAsia" w:asciiTheme="minorEastAsia" w:hAnsiTheme="minorEastAsia" w:eastAsiaTheme="minorEastAsia"/>
          <w:szCs w:val="24"/>
          <w:highlight w:val="none"/>
        </w:rPr>
        <w:t>20</w:t>
      </w:r>
      <w:r>
        <w:rPr>
          <w:rFonts w:asciiTheme="minorEastAsia" w:hAnsiTheme="minorEastAsia" w:eastAsiaTheme="minorEastAsia"/>
          <w:szCs w:val="24"/>
          <w:highlight w:val="none"/>
        </w:rPr>
        <w:t>2</w:t>
      </w:r>
      <w:r>
        <w:rPr>
          <w:rFonts w:hint="eastAsia" w:asciiTheme="minorEastAsia" w:hAnsiTheme="minorEastAsia" w:eastAsiaTheme="minorEastAsia"/>
          <w:szCs w:val="24"/>
          <w:highlight w:val="none"/>
          <w:lang w:val="en-US" w:eastAsia="zh-CN"/>
        </w:rPr>
        <w:t>6</w:t>
      </w:r>
      <w:r>
        <w:rPr>
          <w:rFonts w:hint="eastAsia" w:asciiTheme="minorEastAsia" w:hAnsiTheme="minorEastAsia" w:eastAsiaTheme="minorEastAsia"/>
          <w:szCs w:val="24"/>
          <w:highlight w:val="none"/>
        </w:rPr>
        <w:t>年</w:t>
      </w:r>
      <w:r>
        <w:rPr>
          <w:rFonts w:hint="eastAsia" w:asciiTheme="minorEastAsia" w:hAnsiTheme="minorEastAsia" w:eastAsiaTheme="minorEastAsia"/>
          <w:szCs w:val="24"/>
          <w:highlight w:val="none"/>
          <w:lang w:val="en-US" w:eastAsia="zh-CN"/>
        </w:rPr>
        <w:t>3</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25</w:t>
      </w:r>
      <w:r>
        <w:rPr>
          <w:rFonts w:hint="eastAsia" w:asciiTheme="minorEastAsia" w:hAnsiTheme="minorEastAsia" w:eastAsiaTheme="minorEastAsia"/>
          <w:szCs w:val="24"/>
          <w:highlight w:val="none"/>
        </w:rPr>
        <w:t>日</w:t>
      </w:r>
      <w:r>
        <w:rPr>
          <w:rFonts w:asciiTheme="minorEastAsia" w:hAnsiTheme="minorEastAsia" w:eastAsiaTheme="minorEastAsia"/>
          <w:szCs w:val="24"/>
          <w:highlight w:val="none"/>
        </w:rPr>
        <w:t>止。</w:t>
      </w:r>
    </w:p>
    <w:p w14:paraId="00DB6E71">
      <w:pPr>
        <w:numPr>
          <w:ilvl w:val="0"/>
          <w:numId w:val="2"/>
        </w:numPr>
        <w:autoSpaceDE w:val="0"/>
        <w:autoSpaceDN w:val="0"/>
        <w:spacing w:before="120" w:after="120" w:afterLines="50" w:line="360" w:lineRule="auto"/>
        <w:jc w:val="left"/>
        <w:outlineLvl w:val="0"/>
        <w:rPr>
          <w:rFonts w:hint="eastAsia" w:asciiTheme="minorEastAsia" w:hAnsiTheme="minorEastAsia" w:eastAsiaTheme="minorEastAsia"/>
          <w:b/>
          <w:szCs w:val="24"/>
          <w:highlight w:val="none"/>
        </w:rPr>
      </w:pPr>
      <w:bookmarkStart w:id="10" w:name="_Toc76215646"/>
      <w:r>
        <w:rPr>
          <w:rFonts w:hint="eastAsia" w:asciiTheme="minorEastAsia" w:hAnsiTheme="minorEastAsia" w:eastAsiaTheme="minorEastAsia"/>
          <w:b/>
          <w:szCs w:val="24"/>
          <w:highlight w:val="none"/>
        </w:rPr>
        <w:t>获取招标文件的时间及地点</w:t>
      </w:r>
      <w:bookmarkEnd w:id="10"/>
    </w:p>
    <w:p w14:paraId="125D8A14">
      <w:pPr>
        <w:numPr>
          <w:ilvl w:val="0"/>
          <w:numId w:val="0"/>
        </w:numPr>
        <w:autoSpaceDE w:val="0"/>
        <w:autoSpaceDN w:val="0"/>
        <w:spacing w:before="120" w:after="120" w:afterLines="50" w:line="360" w:lineRule="auto"/>
        <w:ind w:firstLine="480" w:firstLineChars="200"/>
        <w:jc w:val="left"/>
        <w:outlineLvl w:val="0"/>
        <w:rPr>
          <w:rFonts w:asciiTheme="minorEastAsia" w:hAnsiTheme="minorEastAsia" w:eastAsiaTheme="minorEastAsia"/>
          <w:szCs w:val="24"/>
          <w:highlight w:val="none"/>
        </w:rPr>
      </w:pPr>
      <w:r>
        <w:rPr>
          <w:rFonts w:hint="eastAsia" w:cs="宋体" w:asciiTheme="minorEastAsia" w:hAnsiTheme="minorEastAsia" w:eastAsiaTheme="minorEastAsia"/>
          <w:szCs w:val="24"/>
          <w:highlight w:val="none"/>
        </w:rPr>
        <w:t>凡有意参加投标者，请回执《投</w:t>
      </w:r>
      <w:r>
        <w:rPr>
          <w:rFonts w:cs="宋体" w:asciiTheme="minorEastAsia" w:hAnsiTheme="minorEastAsia" w:eastAsiaTheme="minorEastAsia"/>
          <w:szCs w:val="24"/>
          <w:highlight w:val="none"/>
        </w:rPr>
        <w:t>标意</w:t>
      </w:r>
      <w:r>
        <w:rPr>
          <w:rFonts w:hint="eastAsia" w:cs="宋体" w:asciiTheme="minorEastAsia" w:hAnsiTheme="minorEastAsia" w:eastAsiaTheme="minorEastAsia"/>
          <w:szCs w:val="24"/>
          <w:highlight w:val="none"/>
        </w:rPr>
        <w:t>向确认</w:t>
      </w:r>
      <w:r>
        <w:rPr>
          <w:rFonts w:cs="宋体" w:asciiTheme="minorEastAsia" w:hAnsiTheme="minorEastAsia" w:eastAsiaTheme="minorEastAsia"/>
          <w:szCs w:val="24"/>
          <w:highlight w:val="none"/>
        </w:rPr>
        <w:t>书</w:t>
      </w:r>
      <w:r>
        <w:rPr>
          <w:rFonts w:hint="eastAsia" w:cs="宋体" w:asciiTheme="minorEastAsia" w:hAnsiTheme="minorEastAsia" w:eastAsiaTheme="minorEastAsia"/>
          <w:szCs w:val="24"/>
          <w:highlight w:val="none"/>
        </w:rPr>
        <w:t>》，招</w:t>
      </w:r>
      <w:r>
        <w:rPr>
          <w:rFonts w:cs="宋体" w:asciiTheme="minorEastAsia" w:hAnsiTheme="minorEastAsia" w:eastAsiaTheme="minorEastAsia"/>
          <w:szCs w:val="24"/>
          <w:highlight w:val="none"/>
        </w:rPr>
        <w:t>标人</w:t>
      </w:r>
      <w:r>
        <w:rPr>
          <w:rFonts w:hint="eastAsia" w:cs="宋体" w:asciiTheme="minorEastAsia" w:hAnsiTheme="minorEastAsia" w:eastAsiaTheme="minorEastAsia"/>
          <w:szCs w:val="24"/>
          <w:highlight w:val="none"/>
        </w:rPr>
        <w:t>将采</w:t>
      </w:r>
      <w:r>
        <w:rPr>
          <w:rFonts w:cs="宋体" w:asciiTheme="minorEastAsia" w:hAnsiTheme="minorEastAsia" w:eastAsiaTheme="minorEastAsia"/>
          <w:szCs w:val="24"/>
          <w:highlight w:val="none"/>
        </w:rPr>
        <w:t>用提</w:t>
      </w:r>
      <w:r>
        <w:rPr>
          <w:rFonts w:hint="eastAsia" w:cs="宋体" w:asciiTheme="minorEastAsia" w:hAnsiTheme="minorEastAsia" w:eastAsiaTheme="minorEastAsia"/>
          <w:szCs w:val="24"/>
          <w:highlight w:val="none"/>
        </w:rPr>
        <w:t>供</w:t>
      </w:r>
      <w:r>
        <w:rPr>
          <w:rFonts w:cs="宋体" w:asciiTheme="minorEastAsia" w:hAnsiTheme="minorEastAsia" w:eastAsiaTheme="minorEastAsia"/>
          <w:szCs w:val="24"/>
          <w:highlight w:val="none"/>
        </w:rPr>
        <w:t>电子档</w:t>
      </w:r>
      <w:r>
        <w:rPr>
          <w:rFonts w:hint="eastAsia" w:cs="宋体" w:asciiTheme="minorEastAsia" w:hAnsiTheme="minorEastAsia" w:eastAsiaTheme="minorEastAsia"/>
          <w:szCs w:val="24"/>
          <w:highlight w:val="none"/>
        </w:rPr>
        <w:t>招</w:t>
      </w:r>
      <w:r>
        <w:rPr>
          <w:rFonts w:cs="宋体" w:asciiTheme="minorEastAsia" w:hAnsiTheme="minorEastAsia" w:eastAsiaTheme="minorEastAsia"/>
          <w:szCs w:val="24"/>
          <w:highlight w:val="none"/>
        </w:rPr>
        <w:t>标</w:t>
      </w:r>
      <w:r>
        <w:rPr>
          <w:rFonts w:hint="eastAsia" w:cs="宋体" w:asciiTheme="minorEastAsia" w:hAnsiTheme="minorEastAsia" w:eastAsiaTheme="minorEastAsia"/>
          <w:szCs w:val="24"/>
          <w:highlight w:val="none"/>
        </w:rPr>
        <w:t>文</w:t>
      </w:r>
      <w:r>
        <w:rPr>
          <w:rFonts w:cs="宋体" w:asciiTheme="minorEastAsia" w:hAnsiTheme="minorEastAsia" w:eastAsiaTheme="minorEastAsia"/>
          <w:szCs w:val="24"/>
          <w:highlight w:val="none"/>
        </w:rPr>
        <w:t>件发放</w:t>
      </w:r>
      <w:r>
        <w:rPr>
          <w:rFonts w:hint="eastAsia" w:cs="宋体" w:asciiTheme="minorEastAsia" w:hAnsiTheme="minorEastAsia" w:eastAsiaTheme="minorEastAsia"/>
          <w:szCs w:val="24"/>
          <w:highlight w:val="none"/>
        </w:rPr>
        <w:t>到</w:t>
      </w:r>
      <w:r>
        <w:rPr>
          <w:rFonts w:cs="宋体" w:asciiTheme="minorEastAsia" w:hAnsiTheme="minorEastAsia" w:eastAsiaTheme="minorEastAsia"/>
          <w:szCs w:val="24"/>
          <w:highlight w:val="none"/>
        </w:rPr>
        <w:t>《投标联系</w:t>
      </w:r>
      <w:r>
        <w:rPr>
          <w:rFonts w:hint="eastAsia" w:cs="宋体" w:asciiTheme="minorEastAsia" w:hAnsiTheme="minorEastAsia" w:eastAsiaTheme="minorEastAsia"/>
          <w:szCs w:val="24"/>
          <w:highlight w:val="none"/>
        </w:rPr>
        <w:t>人确</w:t>
      </w:r>
      <w:r>
        <w:rPr>
          <w:rFonts w:cs="宋体" w:asciiTheme="minorEastAsia" w:hAnsiTheme="minorEastAsia" w:eastAsiaTheme="minorEastAsia"/>
          <w:szCs w:val="24"/>
          <w:highlight w:val="none"/>
        </w:rPr>
        <w:t>认书》</w:t>
      </w:r>
      <w:r>
        <w:rPr>
          <w:rFonts w:hint="eastAsia" w:cs="宋体" w:asciiTheme="minorEastAsia" w:hAnsiTheme="minorEastAsia" w:eastAsiaTheme="minorEastAsia"/>
          <w:szCs w:val="24"/>
          <w:highlight w:val="none"/>
        </w:rPr>
        <w:t>指</w:t>
      </w:r>
      <w:r>
        <w:rPr>
          <w:rFonts w:cs="宋体" w:asciiTheme="minorEastAsia" w:hAnsiTheme="minorEastAsia" w:eastAsiaTheme="minorEastAsia"/>
          <w:szCs w:val="24"/>
          <w:highlight w:val="none"/>
        </w:rPr>
        <w:t>定的邮箱</w:t>
      </w:r>
      <w:r>
        <w:rPr>
          <w:rFonts w:hint="eastAsia" w:cs="宋体" w:asciiTheme="minorEastAsia" w:hAnsiTheme="minorEastAsia" w:eastAsiaTheme="minorEastAsia"/>
          <w:szCs w:val="24"/>
          <w:highlight w:val="none"/>
        </w:rPr>
        <w:t>地</w:t>
      </w:r>
      <w:r>
        <w:rPr>
          <w:rFonts w:cs="宋体" w:asciiTheme="minorEastAsia" w:hAnsiTheme="minorEastAsia" w:eastAsiaTheme="minorEastAsia"/>
          <w:szCs w:val="24"/>
          <w:highlight w:val="none"/>
        </w:rPr>
        <w:t>址</w:t>
      </w:r>
      <w:r>
        <w:rPr>
          <w:rFonts w:hint="eastAsia" w:cs="宋体" w:asciiTheme="minorEastAsia" w:hAnsiTheme="minorEastAsia" w:eastAsiaTheme="minorEastAsia"/>
          <w:szCs w:val="24"/>
          <w:highlight w:val="none"/>
        </w:rPr>
        <w:t>，</w:t>
      </w:r>
      <w:r>
        <w:rPr>
          <w:rFonts w:cs="宋体" w:asciiTheme="minorEastAsia" w:hAnsiTheme="minorEastAsia" w:eastAsiaTheme="minorEastAsia"/>
          <w:szCs w:val="24"/>
          <w:highlight w:val="none"/>
        </w:rPr>
        <w:t>敬请查收。</w:t>
      </w:r>
    </w:p>
    <w:p w14:paraId="60C54583">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bookmarkStart w:id="11" w:name="_Toc76215648"/>
      <w:r>
        <w:rPr>
          <w:rFonts w:hint="eastAsia" w:asciiTheme="minorEastAsia" w:hAnsiTheme="minorEastAsia" w:eastAsiaTheme="minorEastAsia"/>
          <w:b/>
          <w:szCs w:val="24"/>
          <w:highlight w:val="none"/>
          <w:lang w:val="en-US" w:eastAsia="zh-CN"/>
        </w:rPr>
        <w:t>9</w:t>
      </w:r>
      <w:r>
        <w:rPr>
          <w:rFonts w:asciiTheme="minorEastAsia" w:hAnsiTheme="minorEastAsia" w:eastAsiaTheme="minorEastAsia"/>
          <w:b/>
          <w:szCs w:val="24"/>
          <w:highlight w:val="none"/>
        </w:rPr>
        <w:t xml:space="preserve">. </w:t>
      </w:r>
      <w:r>
        <w:rPr>
          <w:rFonts w:hint="eastAsia" w:asciiTheme="minorEastAsia" w:hAnsiTheme="minorEastAsia" w:eastAsiaTheme="minorEastAsia"/>
          <w:b/>
          <w:szCs w:val="24"/>
          <w:highlight w:val="none"/>
        </w:rPr>
        <w:t>投标文件的递交</w:t>
      </w:r>
      <w:bookmarkEnd w:id="11"/>
    </w:p>
    <w:p w14:paraId="108A7216">
      <w:pPr>
        <w:spacing w:line="360" w:lineRule="auto"/>
        <w:jc w:val="left"/>
        <w:rPr>
          <w:rFonts w:asciiTheme="minorEastAsia" w:hAnsiTheme="minorEastAsia" w:eastAsiaTheme="minorEastAsia"/>
          <w:bCs/>
          <w:snapToGrid w:val="0"/>
          <w:color w:val="000000" w:themeColor="text1"/>
          <w:szCs w:val="24"/>
          <w:highlight w:val="none"/>
        </w:rPr>
      </w:pPr>
      <w:r>
        <w:rPr>
          <w:rFonts w:hint="eastAsia" w:asciiTheme="minorEastAsia" w:hAnsiTheme="minorEastAsia" w:eastAsiaTheme="minorEastAsia"/>
          <w:color w:val="000000" w:themeColor="text1"/>
          <w:szCs w:val="24"/>
          <w:highlight w:val="none"/>
          <w:lang w:val="en-US" w:eastAsia="zh-CN"/>
        </w:rPr>
        <w:t>9</w:t>
      </w:r>
      <w:r>
        <w:rPr>
          <w:rFonts w:hint="eastAsia" w:asciiTheme="minorEastAsia" w:hAnsiTheme="minorEastAsia" w:eastAsiaTheme="minorEastAsia"/>
          <w:color w:val="000000" w:themeColor="text1"/>
          <w:szCs w:val="24"/>
          <w:highlight w:val="none"/>
        </w:rPr>
        <w:t>.1投标截止时间：</w:t>
      </w:r>
      <w:r>
        <w:rPr>
          <w:rFonts w:hint="eastAsia" w:asciiTheme="minorEastAsia" w:hAnsiTheme="minorEastAsia" w:eastAsiaTheme="minorEastAsia"/>
          <w:snapToGrid w:val="0"/>
          <w:color w:val="000000" w:themeColor="text1"/>
          <w:szCs w:val="24"/>
          <w:highlight w:val="none"/>
          <w:u w:val="single"/>
        </w:rPr>
        <w:t>20</w:t>
      </w:r>
      <w:r>
        <w:rPr>
          <w:rFonts w:asciiTheme="minorEastAsia" w:hAnsiTheme="minorEastAsia" w:eastAsiaTheme="minorEastAsia"/>
          <w:snapToGrid w:val="0"/>
          <w:color w:val="000000" w:themeColor="text1"/>
          <w:szCs w:val="24"/>
          <w:highlight w:val="none"/>
          <w:u w:val="single"/>
        </w:rPr>
        <w:t>2</w:t>
      </w:r>
      <w:r>
        <w:rPr>
          <w:rFonts w:hint="eastAsia" w:asciiTheme="minorEastAsia" w:hAnsiTheme="minorEastAsia" w:eastAsiaTheme="minorEastAsia"/>
          <w:snapToGrid w:val="0"/>
          <w:color w:val="000000" w:themeColor="text1"/>
          <w:szCs w:val="24"/>
          <w:highlight w:val="none"/>
          <w:u w:val="single"/>
          <w:lang w:val="en-US" w:eastAsia="zh-CN"/>
        </w:rPr>
        <w:t>6</w:t>
      </w:r>
      <w:r>
        <w:rPr>
          <w:rFonts w:hint="eastAsia" w:asciiTheme="minorEastAsia" w:hAnsiTheme="minorEastAsia" w:eastAsiaTheme="minorEastAsia"/>
          <w:snapToGrid w:val="0"/>
          <w:color w:val="000000" w:themeColor="text1"/>
          <w:szCs w:val="24"/>
          <w:highlight w:val="none"/>
          <w:u w:val="single"/>
        </w:rPr>
        <w:t xml:space="preserve"> </w:t>
      </w:r>
      <w:r>
        <w:rPr>
          <w:rFonts w:asciiTheme="minorEastAsia" w:hAnsiTheme="minorEastAsia" w:eastAsiaTheme="minorEastAsia"/>
          <w:snapToGrid w:val="0"/>
          <w:color w:val="000000" w:themeColor="text1"/>
          <w:szCs w:val="24"/>
          <w:highlight w:val="none"/>
        </w:rPr>
        <w:t>年</w:t>
      </w:r>
      <w:r>
        <w:rPr>
          <w:rFonts w:hint="eastAsia" w:asciiTheme="minorEastAsia" w:hAnsiTheme="minorEastAsia" w:eastAsiaTheme="minorEastAsia"/>
          <w:snapToGrid w:val="0"/>
          <w:color w:val="000000" w:themeColor="text1"/>
          <w:szCs w:val="24"/>
          <w:highlight w:val="none"/>
          <w:u w:val="single"/>
          <w:lang w:val="en-US" w:eastAsia="zh-CN"/>
        </w:rPr>
        <w:t>3</w:t>
      </w:r>
      <w:r>
        <w:rPr>
          <w:rFonts w:asciiTheme="minorEastAsia" w:hAnsiTheme="minorEastAsia" w:eastAsiaTheme="minorEastAsia"/>
          <w:snapToGrid w:val="0"/>
          <w:color w:val="000000" w:themeColor="text1"/>
          <w:szCs w:val="24"/>
          <w:highlight w:val="none"/>
        </w:rPr>
        <w:t>月</w:t>
      </w:r>
      <w:r>
        <w:rPr>
          <w:rFonts w:hint="eastAsia" w:asciiTheme="minorEastAsia" w:hAnsiTheme="minorEastAsia" w:eastAsiaTheme="minorEastAsia"/>
          <w:snapToGrid w:val="0"/>
          <w:color w:val="000000" w:themeColor="text1"/>
          <w:szCs w:val="24"/>
          <w:highlight w:val="none"/>
          <w:u w:val="single"/>
        </w:rPr>
        <w:t xml:space="preserve"> </w:t>
      </w:r>
      <w:r>
        <w:rPr>
          <w:rFonts w:hint="eastAsia" w:asciiTheme="minorEastAsia" w:hAnsiTheme="minorEastAsia" w:eastAsiaTheme="minorEastAsia"/>
          <w:snapToGrid w:val="0"/>
          <w:color w:val="000000" w:themeColor="text1"/>
          <w:szCs w:val="24"/>
          <w:highlight w:val="none"/>
          <w:u w:val="single"/>
          <w:lang w:val="en-US" w:eastAsia="zh-CN"/>
        </w:rPr>
        <w:t>25</w:t>
      </w:r>
      <w:r>
        <w:rPr>
          <w:rFonts w:asciiTheme="minorEastAsia" w:hAnsiTheme="minorEastAsia" w:eastAsiaTheme="minorEastAsia"/>
          <w:snapToGrid w:val="0"/>
          <w:color w:val="000000" w:themeColor="text1"/>
          <w:szCs w:val="24"/>
          <w:highlight w:val="none"/>
          <w:u w:val="single"/>
        </w:rPr>
        <w:t xml:space="preserve"> </w:t>
      </w:r>
      <w:r>
        <w:rPr>
          <w:rFonts w:asciiTheme="minorEastAsia" w:hAnsiTheme="minorEastAsia" w:eastAsiaTheme="minorEastAsia"/>
          <w:snapToGrid w:val="0"/>
          <w:color w:val="000000" w:themeColor="text1"/>
          <w:szCs w:val="24"/>
          <w:highlight w:val="none"/>
        </w:rPr>
        <w:t>日</w:t>
      </w:r>
      <w:r>
        <w:rPr>
          <w:rFonts w:hint="eastAsia" w:asciiTheme="minorEastAsia" w:hAnsiTheme="minorEastAsia" w:eastAsiaTheme="minorEastAsia"/>
          <w:snapToGrid w:val="0"/>
          <w:color w:val="000000" w:themeColor="text1"/>
          <w:szCs w:val="24"/>
          <w:highlight w:val="none"/>
          <w:u w:val="single"/>
        </w:rPr>
        <w:t xml:space="preserve"> </w:t>
      </w:r>
      <w:r>
        <w:rPr>
          <w:rFonts w:asciiTheme="minorEastAsia" w:hAnsiTheme="minorEastAsia" w:eastAsiaTheme="minorEastAsia"/>
          <w:snapToGrid w:val="0"/>
          <w:color w:val="000000" w:themeColor="text1"/>
          <w:szCs w:val="24"/>
          <w:highlight w:val="none"/>
          <w:u w:val="single"/>
        </w:rPr>
        <w:t>1</w:t>
      </w:r>
      <w:r>
        <w:rPr>
          <w:rFonts w:hint="eastAsia" w:asciiTheme="minorEastAsia" w:hAnsiTheme="minorEastAsia" w:eastAsiaTheme="minorEastAsia"/>
          <w:snapToGrid w:val="0"/>
          <w:color w:val="000000" w:themeColor="text1"/>
          <w:szCs w:val="24"/>
          <w:highlight w:val="none"/>
          <w:u w:val="single"/>
        </w:rPr>
        <w:t xml:space="preserve">4:00  </w:t>
      </w:r>
      <w:r>
        <w:rPr>
          <w:rFonts w:hint="eastAsia" w:asciiTheme="minorEastAsia" w:hAnsiTheme="minorEastAsia" w:eastAsiaTheme="minorEastAsia"/>
          <w:snapToGrid w:val="0"/>
          <w:color w:val="000000" w:themeColor="text1"/>
          <w:szCs w:val="24"/>
          <w:highlight w:val="none"/>
        </w:rPr>
        <w:t>时前</w:t>
      </w:r>
      <w:r>
        <w:rPr>
          <w:rFonts w:hint="eastAsia" w:asciiTheme="minorEastAsia" w:hAnsiTheme="minorEastAsia" w:eastAsiaTheme="minorEastAsia"/>
          <w:bCs/>
          <w:snapToGrid w:val="0"/>
          <w:color w:val="000000" w:themeColor="text1"/>
          <w:szCs w:val="24"/>
          <w:highlight w:val="none"/>
        </w:rPr>
        <w:t>，逾期不受理。</w:t>
      </w:r>
    </w:p>
    <w:p w14:paraId="2B239732">
      <w:pPr>
        <w:spacing w:line="360" w:lineRule="auto"/>
        <w:jc w:val="left"/>
        <w:rPr>
          <w:rFonts w:ascii="宋体" w:hAnsi="宋体" w:eastAsia="宋体" w:cs="宋体"/>
          <w:b/>
          <w:bCs/>
          <w:snapToGrid w:val="0"/>
          <w:szCs w:val="24"/>
          <w:highlight w:val="none"/>
          <w:u w:val="single"/>
        </w:rPr>
      </w:pPr>
      <w:r>
        <w:rPr>
          <w:rFonts w:hint="eastAsia" w:asciiTheme="minorEastAsia" w:hAnsiTheme="minorEastAsia" w:eastAsiaTheme="minorEastAsia"/>
          <w:color w:val="000000" w:themeColor="text1"/>
          <w:szCs w:val="24"/>
          <w:highlight w:val="none"/>
          <w:lang w:val="en-US" w:eastAsia="zh-CN"/>
        </w:rPr>
        <w:t>9</w:t>
      </w:r>
      <w:r>
        <w:rPr>
          <w:rFonts w:hint="eastAsia" w:asciiTheme="minorEastAsia" w:hAnsiTheme="minorEastAsia" w:eastAsiaTheme="minorEastAsia"/>
          <w:color w:val="000000" w:themeColor="text1"/>
          <w:szCs w:val="24"/>
          <w:highlight w:val="none"/>
        </w:rPr>
        <w:t>.2</w:t>
      </w:r>
      <w:r>
        <w:rPr>
          <w:rFonts w:hint="eastAsia" w:ascii="宋体" w:hAnsi="宋体" w:eastAsia="宋体" w:cs="宋体"/>
          <w:snapToGrid w:val="0"/>
          <w:szCs w:val="24"/>
          <w:highlight w:val="none"/>
        </w:rPr>
        <w:t>投档方式</w:t>
      </w:r>
      <w:r>
        <w:rPr>
          <w:rFonts w:hint="eastAsia" w:ascii="宋体" w:hAnsi="宋体" w:eastAsia="宋体" w:cs="宋体"/>
          <w:b/>
          <w:bCs/>
          <w:snapToGrid w:val="0"/>
          <w:szCs w:val="24"/>
          <w:highlight w:val="none"/>
          <w:u w:val="single"/>
        </w:rPr>
        <w:t>：</w:t>
      </w:r>
      <w:r>
        <w:rPr>
          <w:rFonts w:hint="eastAsia" w:ascii="宋体" w:hAnsi="宋体" w:eastAsia="宋体" w:cs="宋体"/>
          <w:snapToGrid w:val="0"/>
          <w:szCs w:val="24"/>
          <w:highlight w:val="none"/>
          <w:u w:val="single"/>
        </w:rPr>
        <w:t>选择第（</w:t>
      </w:r>
      <w:r>
        <w:rPr>
          <w:rFonts w:hint="eastAsia" w:ascii="宋体" w:hAnsi="宋体" w:eastAsia="宋体" w:cs="宋体"/>
          <w:snapToGrid w:val="0"/>
          <w:szCs w:val="24"/>
          <w:highlight w:val="none"/>
          <w:u w:val="single"/>
          <w:lang w:val="en-US" w:eastAsia="zh-CN"/>
        </w:rPr>
        <w:t>2</w:t>
      </w:r>
      <w:r>
        <w:rPr>
          <w:rFonts w:hint="eastAsia" w:ascii="宋体" w:hAnsi="宋体" w:eastAsia="宋体" w:cs="宋体"/>
          <w:snapToGrid w:val="0"/>
          <w:szCs w:val="24"/>
          <w:highlight w:val="none"/>
          <w:u w:val="single"/>
        </w:rPr>
        <w:t>）</w:t>
      </w:r>
      <w:r>
        <w:rPr>
          <w:rFonts w:hint="eastAsia" w:ascii="宋体" w:hAnsi="宋体" w:eastAsia="宋体" w:cs="宋体"/>
          <w:snapToGrid w:val="0"/>
          <w:szCs w:val="24"/>
          <w:highlight w:val="none"/>
          <w:u w:val="single"/>
          <w:lang w:val="en-US" w:eastAsia="zh-CN"/>
        </w:rPr>
        <w:t>电子</w:t>
      </w:r>
      <w:r>
        <w:rPr>
          <w:rFonts w:hint="eastAsia" w:ascii="宋体" w:hAnsi="宋体" w:eastAsia="宋体" w:cs="宋体"/>
          <w:snapToGrid w:val="0"/>
          <w:szCs w:val="24"/>
          <w:highlight w:val="none"/>
          <w:u w:val="single"/>
        </w:rPr>
        <w:t>档投递方式</w:t>
      </w:r>
    </w:p>
    <w:p w14:paraId="0A8F81FD">
      <w:pPr>
        <w:spacing w:line="360" w:lineRule="auto"/>
        <w:ind w:firstLine="480" w:firstLineChars="200"/>
        <w:jc w:val="left"/>
        <w:rPr>
          <w:rFonts w:ascii="宋体" w:hAnsi="宋体" w:eastAsia="宋体" w:cs="宋体"/>
          <w:snapToGrid w:val="0"/>
          <w:szCs w:val="24"/>
          <w:highlight w:val="none"/>
          <w:u w:val="single"/>
        </w:rPr>
      </w:pPr>
      <w:r>
        <w:rPr>
          <w:rFonts w:hint="eastAsia" w:ascii="宋体" w:hAnsi="宋体" w:eastAsia="宋体" w:cs="宋体"/>
          <w:szCs w:val="24"/>
          <w:highlight w:val="none"/>
        </w:rPr>
        <w:t>（1）纸质档投递方式：投标文件须密封后于投标截止时间前送到开标地点，</w:t>
      </w:r>
      <w:r>
        <w:rPr>
          <w:rFonts w:hint="eastAsia" w:ascii="宋体" w:hAnsi="宋体" w:eastAsia="宋体" w:cs="宋体"/>
          <w:snapToGrid w:val="0"/>
          <w:szCs w:val="24"/>
          <w:highlight w:val="none"/>
        </w:rPr>
        <w:t>快递或上门送件方式，地点</w:t>
      </w:r>
      <w:r>
        <w:rPr>
          <w:rFonts w:hint="eastAsia" w:ascii="宋体" w:hAnsi="宋体" w:eastAsia="宋体" w:cs="宋体"/>
          <w:snapToGrid w:val="0"/>
          <w:szCs w:val="24"/>
          <w:highlight w:val="none"/>
          <w:u w:val="single"/>
        </w:rPr>
        <w:t>：深圳市龙岗区坪地街道高桥社区朗坤科技园10楼招标采购中心收。</w:t>
      </w:r>
    </w:p>
    <w:p w14:paraId="432265C4">
      <w:pPr>
        <w:autoSpaceDE w:val="0"/>
        <w:autoSpaceDN w:val="0"/>
        <w:spacing w:line="360" w:lineRule="auto"/>
        <w:ind w:firstLine="480" w:firstLineChars="200"/>
        <w:jc w:val="left"/>
        <w:rPr>
          <w:rFonts w:asciiTheme="minorEastAsia" w:hAnsiTheme="minorEastAsia" w:eastAsiaTheme="minorEastAsia"/>
          <w:b/>
          <w:color w:val="FF0000"/>
          <w:szCs w:val="24"/>
          <w:highlight w:val="none"/>
          <w:u w:val="single"/>
        </w:rPr>
      </w:pPr>
      <w:r>
        <w:rPr>
          <w:rFonts w:hint="eastAsia" w:ascii="宋体" w:hAnsi="宋体" w:eastAsia="宋体" w:cs="宋体"/>
          <w:szCs w:val="24"/>
          <w:highlight w:val="none"/>
        </w:rPr>
        <w:t>（2）电子档投递方式：投标截止时间</w:t>
      </w:r>
      <w:r>
        <w:rPr>
          <w:rFonts w:hint="eastAsia" w:ascii="宋体" w:hAnsi="宋体" w:eastAsia="宋体" w:cs="宋体"/>
          <w:snapToGrid w:val="0"/>
          <w:szCs w:val="24"/>
          <w:highlight w:val="none"/>
        </w:rPr>
        <w:t>前</w:t>
      </w:r>
      <w:r>
        <w:rPr>
          <w:rFonts w:hint="eastAsia" w:ascii="宋体" w:hAnsi="宋体" w:eastAsia="宋体" w:cs="宋体"/>
          <w:szCs w:val="24"/>
          <w:highlight w:val="none"/>
        </w:rPr>
        <w:t>登录朗坤</w:t>
      </w:r>
      <w:r>
        <w:rPr>
          <w:rFonts w:hint="eastAsia" w:ascii="宋体" w:hAnsi="宋体" w:eastAsia="宋体" w:cs="宋体"/>
          <w:szCs w:val="24"/>
          <w:highlight w:val="none"/>
          <w:lang w:val="en-US" w:eastAsia="zh-CN"/>
        </w:rPr>
        <w:t>科技</w:t>
      </w:r>
      <w:r>
        <w:rPr>
          <w:rFonts w:hint="eastAsia" w:ascii="宋体" w:hAnsi="宋体" w:eastAsia="宋体" w:cs="宋体"/>
          <w:szCs w:val="24"/>
          <w:highlight w:val="none"/>
        </w:rPr>
        <w:t>官网招标采购平台</w:t>
      </w:r>
      <w:r>
        <w:rPr>
          <w:rFonts w:hint="eastAsia" w:ascii="宋体" w:hAnsi="宋体" w:eastAsia="宋体" w:cs="宋体"/>
          <w:szCs w:val="24"/>
          <w:highlight w:val="none"/>
          <w:lang w:eastAsia="zh-CN"/>
        </w:rPr>
        <w:t>。</w:t>
      </w:r>
      <w:r>
        <w:rPr>
          <w:rFonts w:hint="eastAsia" w:ascii="宋体" w:hAnsi="宋体" w:eastAsia="宋体" w:cs="宋体"/>
          <w:szCs w:val="24"/>
          <w:highlight w:val="none"/>
        </w:rPr>
        <w:t>https://www.leoking.com/Bidding/list_125.aspx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highlight w:val="none"/>
          <w:u w:val="single"/>
        </w:rPr>
        <w:t>投标文件压缩时要求使用密码加密，开标时再提供密码解压。</w:t>
      </w:r>
    </w:p>
    <w:p w14:paraId="7A2E8D31">
      <w:pPr>
        <w:autoSpaceDE w:val="0"/>
        <w:autoSpaceDN w:val="0"/>
        <w:spacing w:line="360" w:lineRule="auto"/>
        <w:jc w:val="left"/>
        <w:rPr>
          <w:rFonts w:asciiTheme="minorEastAsia" w:hAnsiTheme="minorEastAsia" w:eastAsiaTheme="minorEastAsia"/>
          <w:color w:val="000000" w:themeColor="text1"/>
          <w:szCs w:val="24"/>
          <w:highlight w:val="none"/>
        </w:rPr>
      </w:pPr>
      <w:r>
        <w:rPr>
          <w:rFonts w:hint="eastAsia" w:asciiTheme="minorEastAsia" w:hAnsiTheme="minorEastAsia" w:eastAsiaTheme="minorEastAsia"/>
          <w:color w:val="000000" w:themeColor="text1"/>
          <w:szCs w:val="24"/>
          <w:highlight w:val="none"/>
          <w:lang w:val="en-US" w:eastAsia="zh-CN"/>
        </w:rPr>
        <w:t>9</w:t>
      </w:r>
      <w:r>
        <w:rPr>
          <w:rFonts w:hint="eastAsia" w:asciiTheme="minorEastAsia" w:hAnsiTheme="minorEastAsia" w:eastAsiaTheme="minorEastAsia"/>
          <w:color w:val="000000" w:themeColor="text1"/>
          <w:szCs w:val="24"/>
          <w:highlight w:val="none"/>
        </w:rPr>
        <w:t>.3逾期收到或不符合招标文件要求的投标文件恕不接受，</w:t>
      </w:r>
      <w:r>
        <w:rPr>
          <w:rFonts w:asciiTheme="minorEastAsia" w:hAnsiTheme="minorEastAsia" w:eastAsiaTheme="minorEastAsia"/>
          <w:color w:val="000000" w:themeColor="text1"/>
          <w:szCs w:val="24"/>
          <w:highlight w:val="none"/>
        </w:rPr>
        <w:t>开</w:t>
      </w:r>
      <w:r>
        <w:rPr>
          <w:rFonts w:hint="eastAsia" w:asciiTheme="minorEastAsia" w:hAnsiTheme="minorEastAsia" w:eastAsiaTheme="minorEastAsia"/>
          <w:color w:val="000000" w:themeColor="text1"/>
          <w:szCs w:val="24"/>
          <w:highlight w:val="none"/>
        </w:rPr>
        <w:t>标</w:t>
      </w:r>
      <w:r>
        <w:rPr>
          <w:rFonts w:asciiTheme="minorEastAsia" w:hAnsiTheme="minorEastAsia" w:eastAsiaTheme="minorEastAsia"/>
          <w:color w:val="000000" w:themeColor="text1"/>
          <w:szCs w:val="24"/>
          <w:highlight w:val="none"/>
        </w:rPr>
        <w:t>时间另行通知。</w:t>
      </w:r>
    </w:p>
    <w:p w14:paraId="29A0D0CF">
      <w:pPr>
        <w:autoSpaceDE w:val="0"/>
        <w:autoSpaceDN w:val="0"/>
        <w:spacing w:before="120" w:after="120" w:afterLines="50" w:line="360" w:lineRule="auto"/>
        <w:jc w:val="left"/>
        <w:outlineLvl w:val="0"/>
        <w:rPr>
          <w:rFonts w:asciiTheme="minorEastAsia" w:hAnsiTheme="minorEastAsia" w:eastAsiaTheme="minorEastAsia"/>
          <w:b/>
          <w:szCs w:val="24"/>
          <w:highlight w:val="none"/>
        </w:rPr>
      </w:pPr>
      <w:r>
        <w:rPr>
          <w:rFonts w:asciiTheme="minorEastAsia" w:hAnsiTheme="minorEastAsia" w:eastAsiaTheme="minorEastAsia"/>
          <w:b/>
          <w:szCs w:val="24"/>
          <w:highlight w:val="none"/>
        </w:rPr>
        <w:t xml:space="preserve"> </w:t>
      </w:r>
      <w:bookmarkStart w:id="12" w:name="_Toc76215649"/>
      <w:r>
        <w:rPr>
          <w:rFonts w:asciiTheme="minorEastAsia" w:hAnsiTheme="minorEastAsia" w:eastAsiaTheme="minorEastAsia"/>
          <w:b/>
          <w:szCs w:val="24"/>
          <w:highlight w:val="none"/>
        </w:rPr>
        <w:t>1</w:t>
      </w:r>
      <w:r>
        <w:rPr>
          <w:rFonts w:hint="eastAsia" w:asciiTheme="minorEastAsia" w:hAnsiTheme="minorEastAsia" w:eastAsiaTheme="minorEastAsia"/>
          <w:b/>
          <w:szCs w:val="24"/>
          <w:highlight w:val="none"/>
          <w:lang w:val="en-US" w:eastAsia="zh-CN"/>
        </w:rPr>
        <w:t>0</w:t>
      </w:r>
      <w:r>
        <w:rPr>
          <w:rFonts w:asciiTheme="minorEastAsia" w:hAnsiTheme="minorEastAsia" w:eastAsiaTheme="minorEastAsia"/>
          <w:b/>
          <w:szCs w:val="24"/>
          <w:highlight w:val="none"/>
        </w:rPr>
        <w:t>.</w:t>
      </w:r>
      <w:r>
        <w:rPr>
          <w:rFonts w:hint="eastAsia" w:asciiTheme="minorEastAsia" w:hAnsiTheme="minorEastAsia" w:eastAsiaTheme="minorEastAsia"/>
          <w:b/>
          <w:szCs w:val="24"/>
          <w:highlight w:val="none"/>
        </w:rPr>
        <w:t>联</w:t>
      </w:r>
      <w:r>
        <w:rPr>
          <w:rFonts w:asciiTheme="minorEastAsia" w:hAnsiTheme="minorEastAsia" w:eastAsiaTheme="minorEastAsia"/>
          <w:b/>
          <w:szCs w:val="24"/>
          <w:highlight w:val="none"/>
        </w:rPr>
        <w:t>系方式</w:t>
      </w:r>
      <w:bookmarkEnd w:id="12"/>
    </w:p>
    <w:p w14:paraId="52E663C4">
      <w:pPr>
        <w:autoSpaceDE w:val="0"/>
        <w:autoSpaceDN w:val="0"/>
        <w:adjustRightInd w:val="0"/>
        <w:spacing w:line="360" w:lineRule="auto"/>
        <w:jc w:val="left"/>
        <w:rPr>
          <w:rFonts w:hint="eastAsia" w:asciiTheme="minorEastAsia" w:hAnsiTheme="minorEastAsia" w:eastAsiaTheme="minorEastAsia"/>
          <w:b/>
          <w:szCs w:val="24"/>
          <w:highlight w:val="none"/>
        </w:rPr>
      </w:pPr>
      <w:r>
        <w:rPr>
          <w:rFonts w:hint="eastAsia" w:asciiTheme="minorEastAsia" w:hAnsiTheme="minorEastAsia" w:eastAsiaTheme="minorEastAsia"/>
          <w:b/>
          <w:szCs w:val="24"/>
          <w:highlight w:val="none"/>
        </w:rPr>
        <w:t>招</w:t>
      </w:r>
      <w:r>
        <w:rPr>
          <w:rFonts w:asciiTheme="minorEastAsia" w:hAnsiTheme="minorEastAsia" w:eastAsiaTheme="minorEastAsia"/>
          <w:b/>
          <w:szCs w:val="24"/>
          <w:highlight w:val="none"/>
        </w:rPr>
        <w:t>标人：</w:t>
      </w:r>
      <w:r>
        <w:rPr>
          <w:rFonts w:hint="eastAsia" w:asciiTheme="minorEastAsia" w:hAnsiTheme="minorEastAsia" w:eastAsiaTheme="minorEastAsia"/>
          <w:b/>
          <w:szCs w:val="24"/>
          <w:highlight w:val="none"/>
        </w:rPr>
        <w:t>深圳市朗坤科技股份有限公司</w:t>
      </w:r>
    </w:p>
    <w:p w14:paraId="6C3D5083">
      <w:pPr>
        <w:autoSpaceDE w:val="0"/>
        <w:autoSpaceDN w:val="0"/>
        <w:adjustRightInd w:val="0"/>
        <w:spacing w:line="360" w:lineRule="auto"/>
        <w:jc w:val="left"/>
        <w:rPr>
          <w:rFonts w:hint="default" w:asciiTheme="minorEastAsia" w:hAnsiTheme="minorEastAsia" w:eastAsiaTheme="minorEastAsia"/>
          <w:szCs w:val="24"/>
          <w:highlight w:val="none"/>
          <w:lang w:val="en-US" w:eastAsia="zh-CN"/>
        </w:rPr>
      </w:pPr>
      <w:r>
        <w:rPr>
          <w:rFonts w:hint="eastAsia" w:asciiTheme="minorEastAsia" w:hAnsiTheme="minorEastAsia" w:eastAsiaTheme="minorEastAsia"/>
          <w:szCs w:val="24"/>
          <w:highlight w:val="none"/>
        </w:rPr>
        <w:t>采购部：</w:t>
      </w:r>
      <w:r>
        <w:rPr>
          <w:rFonts w:hint="eastAsia" w:asciiTheme="minorEastAsia" w:hAnsiTheme="minorEastAsia" w:eastAsiaTheme="minorEastAsia"/>
          <w:szCs w:val="24"/>
          <w:highlight w:val="none"/>
          <w:lang w:val="en-US" w:eastAsia="zh-CN"/>
        </w:rPr>
        <w:t>万欣</w:t>
      </w:r>
      <w:r>
        <w:rPr>
          <w:rFonts w:hint="eastAsia" w:asciiTheme="minorEastAsia" w:hAnsiTheme="minorEastAsia" w:eastAsiaTheme="minorEastAsia"/>
          <w:szCs w:val="24"/>
          <w:highlight w:val="none"/>
        </w:rPr>
        <w:t xml:space="preserve">  </w:t>
      </w:r>
      <w:r>
        <w:rPr>
          <w:rFonts w:hint="eastAsia" w:asciiTheme="minorEastAsia" w:hAnsiTheme="minorEastAsia" w:eastAsiaTheme="minorEastAsia"/>
          <w:szCs w:val="24"/>
          <w:highlight w:val="none"/>
          <w:lang w:val="en-US" w:eastAsia="zh-CN"/>
        </w:rPr>
        <w:t>15807988685</w:t>
      </w:r>
    </w:p>
    <w:p w14:paraId="1C1B38AD">
      <w:pPr>
        <w:autoSpaceDE w:val="0"/>
        <w:autoSpaceDN w:val="0"/>
        <w:adjustRightInd w:val="0"/>
        <w:spacing w:line="360" w:lineRule="auto"/>
        <w:jc w:val="left"/>
        <w:rPr>
          <w:rFonts w:hint="default" w:asciiTheme="minorEastAsia" w:hAnsiTheme="minorEastAsia" w:eastAsiaTheme="minorEastAsia"/>
          <w:szCs w:val="24"/>
          <w:highlight w:val="none"/>
          <w:lang w:val="en-US" w:eastAsia="zh-CN"/>
        </w:rPr>
      </w:pPr>
      <w:r>
        <w:rPr>
          <w:rFonts w:hint="eastAsia" w:asciiTheme="minorEastAsia" w:hAnsiTheme="minorEastAsia" w:eastAsiaTheme="minorEastAsia"/>
          <w:szCs w:val="24"/>
          <w:highlight w:val="none"/>
        </w:rPr>
        <w:t>邮箱</w:t>
      </w:r>
      <w:r>
        <w:rPr>
          <w:rFonts w:asciiTheme="minorEastAsia" w:hAnsiTheme="minorEastAsia" w:eastAsiaTheme="minorEastAsia"/>
          <w:szCs w:val="24"/>
          <w:highlight w:val="none"/>
        </w:rPr>
        <w:t>：</w:t>
      </w:r>
    </w:p>
    <w:p w14:paraId="47F3FD7B">
      <w:pPr>
        <w:autoSpaceDE w:val="0"/>
        <w:autoSpaceDN w:val="0"/>
        <w:adjustRightInd w:val="0"/>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技术部：</w:t>
      </w:r>
      <w:r>
        <w:rPr>
          <w:rFonts w:ascii="宋体" w:hAnsi="宋体" w:eastAsia="宋体" w:cs="宋体"/>
          <w:sz w:val="24"/>
          <w:szCs w:val="24"/>
          <w:highlight w:val="none"/>
        </w:rPr>
        <w:t>王超</w:t>
      </w:r>
      <w:r>
        <w:rPr>
          <w:rFonts w:hint="eastAsia" w:asciiTheme="minorEastAsia" w:hAnsiTheme="minorEastAsia" w:eastAsiaTheme="minorEastAsia"/>
          <w:szCs w:val="24"/>
          <w:highlight w:val="none"/>
        </w:rPr>
        <w:t xml:space="preserve"> 15820226336  </w:t>
      </w:r>
      <w:r>
        <w:rPr>
          <w:rFonts w:hint="eastAsia" w:asciiTheme="minorEastAsia" w:hAnsiTheme="minorEastAsia" w:eastAsiaTheme="minorEastAsia"/>
          <w:szCs w:val="24"/>
          <w:highlight w:val="none"/>
          <w:lang w:val="en-US" w:eastAsia="zh-CN"/>
        </w:rPr>
        <w:t>徐迎春 13018006915</w:t>
      </w:r>
      <w:r>
        <w:rPr>
          <w:rFonts w:hint="eastAsia" w:asciiTheme="minorEastAsia" w:hAnsiTheme="minorEastAsia" w:eastAsiaTheme="minorEastAsia"/>
          <w:szCs w:val="24"/>
          <w:highlight w:val="none"/>
          <w:lang w:val="en-US" w:eastAsia="zh-CN"/>
        </w:rPr>
        <w:t xml:space="preserve"> </w:t>
      </w:r>
      <w:r>
        <w:rPr>
          <w:rFonts w:ascii="宋体" w:hAnsi="宋体" w:eastAsia="宋体" w:cs="宋体"/>
          <w:sz w:val="24"/>
          <w:szCs w:val="24"/>
          <w:highlight w:val="none"/>
        </w:rPr>
        <w:t>李智朋</w:t>
      </w:r>
      <w:r>
        <w:rPr>
          <w:rFonts w:asciiTheme="minorEastAsia" w:hAnsiTheme="minorEastAsia" w:eastAsiaTheme="minorEastAsia"/>
          <w:szCs w:val="24"/>
          <w:highlight w:val="none"/>
        </w:rPr>
        <w:t xml:space="preserve"> </w:t>
      </w:r>
      <w:r>
        <w:rPr>
          <w:rFonts w:hint="eastAsia" w:asciiTheme="minorEastAsia" w:hAnsiTheme="minorEastAsia" w:eastAsiaTheme="minorEastAsia"/>
          <w:szCs w:val="24"/>
          <w:highlight w:val="none"/>
          <w:lang w:val="en-US" w:eastAsia="zh-CN"/>
        </w:rPr>
        <w:t>15140314676</w:t>
      </w:r>
      <w:r>
        <w:rPr>
          <w:rFonts w:hint="eastAsia" w:asciiTheme="minorEastAsia" w:hAnsiTheme="minorEastAsia" w:eastAsiaTheme="minorEastAsia"/>
          <w:szCs w:val="24"/>
          <w:highlight w:val="none"/>
        </w:rPr>
        <w:t xml:space="preserve">   </w:t>
      </w:r>
    </w:p>
    <w:p w14:paraId="39DE2524">
      <w:pPr>
        <w:autoSpaceDE w:val="0"/>
        <w:autoSpaceDN w:val="0"/>
        <w:adjustRightInd w:val="0"/>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邮</w:t>
      </w:r>
      <w:r>
        <w:rPr>
          <w:rFonts w:asciiTheme="minorEastAsia" w:hAnsiTheme="minorEastAsia" w:eastAsiaTheme="minorEastAsia"/>
          <w:szCs w:val="24"/>
          <w:highlight w:val="none"/>
        </w:rPr>
        <w:t>箱：</w:t>
      </w:r>
      <w:r>
        <w:rPr>
          <w:rFonts w:hint="eastAsia" w:asciiTheme="minorEastAsia" w:hAnsiTheme="minorEastAsia" w:eastAsiaTheme="minorEastAsia"/>
          <w:szCs w:val="24"/>
          <w:highlight w:val="none"/>
        </w:rPr>
        <w:t>王超</w:t>
      </w:r>
      <w:r>
        <w:rPr>
          <w:rFonts w:hint="eastAsia" w:asciiTheme="minorEastAsia" w:hAnsiTheme="minorEastAsia" w:eastAsiaTheme="minorEastAsia"/>
          <w:szCs w:val="24"/>
          <w:highlight w:val="none"/>
        </w:rPr>
        <w:fldChar w:fldCharType="begin"/>
      </w:r>
      <w:r>
        <w:rPr>
          <w:rFonts w:hint="eastAsia" w:asciiTheme="minorEastAsia" w:hAnsiTheme="minorEastAsia" w:eastAsiaTheme="minorEastAsia"/>
          <w:szCs w:val="24"/>
          <w:highlight w:val="none"/>
        </w:rPr>
        <w:instrText xml:space="preserve"> HYPERLINK "mailto:&lt;aiwangchao@leoking.com&gt;" </w:instrText>
      </w:r>
      <w:r>
        <w:rPr>
          <w:rFonts w:hint="eastAsia" w:asciiTheme="minorEastAsia" w:hAnsiTheme="minorEastAsia" w:eastAsiaTheme="minorEastAsia"/>
          <w:szCs w:val="24"/>
          <w:highlight w:val="none"/>
        </w:rPr>
        <w:fldChar w:fldCharType="separate"/>
      </w:r>
      <w:r>
        <w:rPr>
          <w:rStyle w:val="9"/>
          <w:rFonts w:hint="eastAsia" w:asciiTheme="minorEastAsia" w:hAnsiTheme="minorEastAsia" w:eastAsiaTheme="minorEastAsia"/>
          <w:szCs w:val="24"/>
          <w:highlight w:val="none"/>
        </w:rPr>
        <w:t>&lt;aiwangchao@leoking.com&gt;</w:t>
      </w:r>
      <w:r>
        <w:rPr>
          <w:rFonts w:hint="eastAsia" w:asciiTheme="minorEastAsia" w:hAnsiTheme="minorEastAsia" w:eastAsiaTheme="minorEastAsia"/>
          <w:szCs w:val="24"/>
          <w:highlight w:val="none"/>
        </w:rPr>
        <w:fldChar w:fldCharType="end"/>
      </w:r>
      <w:r>
        <w:rPr>
          <w:rFonts w:hint="eastAsia" w:asciiTheme="minorEastAsia" w:hAnsiTheme="minorEastAsia" w:eastAsiaTheme="minorEastAsia"/>
          <w:szCs w:val="24"/>
          <w:highlight w:val="none"/>
          <w:lang w:val="en-US" w:eastAsia="zh-CN"/>
        </w:rPr>
        <w:t xml:space="preserve"> </w:t>
      </w:r>
      <w:r>
        <w:rPr>
          <w:rFonts w:hint="eastAsia" w:asciiTheme="minorEastAsia" w:hAnsiTheme="minorEastAsia" w:eastAsiaTheme="minorEastAsia"/>
          <w:szCs w:val="24"/>
          <w:highlight w:val="none"/>
        </w:rPr>
        <w:t>徐迎春&lt;xuyingchun@leoking.com&gt;</w:t>
      </w:r>
    </w:p>
    <w:p w14:paraId="0D90CC6C">
      <w:pPr>
        <w:autoSpaceDE w:val="0"/>
        <w:autoSpaceDN w:val="0"/>
        <w:adjustRightInd w:val="0"/>
        <w:spacing w:line="360" w:lineRule="auto"/>
        <w:jc w:val="left"/>
        <w:rPr>
          <w:rFonts w:asciiTheme="minorEastAsia" w:hAnsiTheme="minorEastAsia" w:eastAsiaTheme="minorEastAsia"/>
          <w:szCs w:val="24"/>
          <w:highlight w:val="none"/>
        </w:rPr>
      </w:pPr>
    </w:p>
    <w:p w14:paraId="35F1B9FF">
      <w:pPr>
        <w:autoSpaceDE w:val="0"/>
        <w:autoSpaceDN w:val="0"/>
        <w:adjustRightInd w:val="0"/>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附</w:t>
      </w:r>
      <w:r>
        <w:rPr>
          <w:rFonts w:asciiTheme="minorEastAsia" w:hAnsiTheme="minorEastAsia" w:eastAsiaTheme="minorEastAsia"/>
          <w:szCs w:val="24"/>
          <w:highlight w:val="none"/>
        </w:rPr>
        <w:t>件详后：</w:t>
      </w:r>
    </w:p>
    <w:p w14:paraId="68FE2C61">
      <w:pPr>
        <w:pStyle w:val="3"/>
        <w:spacing w:before="0" w:after="0" w:line="360" w:lineRule="auto"/>
        <w:ind w:firstLine="422" w:firstLineChars="200"/>
        <w:jc w:val="left"/>
        <w:rPr>
          <w:rFonts w:asciiTheme="minorEastAsia" w:hAnsiTheme="minorEastAsia" w:eastAsiaTheme="minorEastAsia"/>
          <w:sz w:val="21"/>
          <w:szCs w:val="21"/>
          <w:highlight w:val="none"/>
        </w:rPr>
      </w:pPr>
      <w:bookmarkStart w:id="13" w:name="_Toc176085606"/>
    </w:p>
    <w:p w14:paraId="109B144A">
      <w:pPr>
        <w:rPr>
          <w:highlight w:val="none"/>
        </w:rPr>
      </w:pPr>
    </w:p>
    <w:p w14:paraId="2AE431DC">
      <w:pPr>
        <w:autoSpaceDE w:val="0"/>
        <w:autoSpaceDN w:val="0"/>
        <w:adjustRightInd w:val="0"/>
        <w:spacing w:line="360" w:lineRule="auto"/>
        <w:jc w:val="right"/>
        <w:rPr>
          <w:rFonts w:asciiTheme="minorEastAsia" w:hAnsiTheme="minorEastAsia" w:eastAsiaTheme="minorEastAsia"/>
          <w:b/>
          <w:szCs w:val="24"/>
          <w:highlight w:val="none"/>
        </w:rPr>
      </w:pPr>
      <w:r>
        <w:rPr>
          <w:rFonts w:hint="eastAsia" w:asciiTheme="minorEastAsia" w:hAnsiTheme="minorEastAsia" w:eastAsiaTheme="minorEastAsia"/>
          <w:b/>
          <w:szCs w:val="24"/>
          <w:highlight w:val="none"/>
        </w:rPr>
        <w:t>招</w:t>
      </w:r>
      <w:r>
        <w:rPr>
          <w:rFonts w:asciiTheme="minorEastAsia" w:hAnsiTheme="minorEastAsia" w:eastAsiaTheme="minorEastAsia"/>
          <w:b/>
          <w:szCs w:val="24"/>
          <w:highlight w:val="none"/>
        </w:rPr>
        <w:t>标人：</w:t>
      </w:r>
      <w:r>
        <w:rPr>
          <w:rFonts w:hint="eastAsia" w:asciiTheme="minorEastAsia" w:hAnsiTheme="minorEastAsia" w:eastAsiaTheme="minorEastAsia"/>
          <w:b/>
          <w:szCs w:val="24"/>
          <w:highlight w:val="none"/>
        </w:rPr>
        <w:t>深圳市朗坤科技股份有限公司</w:t>
      </w:r>
    </w:p>
    <w:p w14:paraId="657A032C">
      <w:pPr>
        <w:autoSpaceDE w:val="0"/>
        <w:autoSpaceDN w:val="0"/>
        <w:adjustRightInd w:val="0"/>
        <w:spacing w:line="360" w:lineRule="auto"/>
        <w:jc w:val="right"/>
        <w:rPr>
          <w:rFonts w:asciiTheme="minorEastAsia" w:hAnsiTheme="minorEastAsia" w:eastAsiaTheme="minorEastAsia"/>
          <w:b/>
          <w:szCs w:val="24"/>
          <w:highlight w:val="none"/>
        </w:rPr>
      </w:pPr>
      <w:r>
        <w:rPr>
          <w:rFonts w:hint="eastAsia" w:asciiTheme="minorEastAsia" w:hAnsiTheme="minorEastAsia" w:eastAsiaTheme="minorEastAsia"/>
          <w:b/>
          <w:szCs w:val="24"/>
          <w:highlight w:val="none"/>
        </w:rPr>
        <w:t>202</w:t>
      </w:r>
      <w:r>
        <w:rPr>
          <w:rFonts w:hint="eastAsia" w:asciiTheme="minorEastAsia" w:hAnsiTheme="minorEastAsia" w:eastAsiaTheme="minorEastAsia"/>
          <w:b/>
          <w:szCs w:val="24"/>
          <w:highlight w:val="none"/>
          <w:lang w:val="en-US" w:eastAsia="zh-CN"/>
        </w:rPr>
        <w:t>6</w:t>
      </w:r>
      <w:r>
        <w:rPr>
          <w:rFonts w:hint="eastAsia" w:asciiTheme="minorEastAsia" w:hAnsiTheme="minorEastAsia" w:eastAsiaTheme="minorEastAsia"/>
          <w:b/>
          <w:szCs w:val="24"/>
          <w:highlight w:val="none"/>
        </w:rPr>
        <w:t>年</w:t>
      </w:r>
      <w:r>
        <w:rPr>
          <w:rFonts w:hint="eastAsia" w:asciiTheme="minorEastAsia" w:hAnsiTheme="minorEastAsia" w:eastAsiaTheme="minorEastAsia"/>
          <w:b/>
          <w:szCs w:val="24"/>
          <w:highlight w:val="none"/>
          <w:lang w:val="en-US" w:eastAsia="zh-CN"/>
        </w:rPr>
        <w:t>2</w:t>
      </w:r>
      <w:r>
        <w:rPr>
          <w:rFonts w:hint="eastAsia" w:asciiTheme="minorEastAsia" w:hAnsiTheme="minorEastAsia" w:eastAsiaTheme="minorEastAsia"/>
          <w:b/>
          <w:szCs w:val="24"/>
          <w:highlight w:val="none"/>
        </w:rPr>
        <w:t>月</w:t>
      </w:r>
      <w:r>
        <w:rPr>
          <w:rFonts w:hint="eastAsia" w:asciiTheme="minorEastAsia" w:hAnsiTheme="minorEastAsia" w:eastAsiaTheme="minorEastAsia"/>
          <w:b/>
          <w:szCs w:val="24"/>
          <w:highlight w:val="none"/>
          <w:lang w:val="en-US" w:eastAsia="zh-CN"/>
        </w:rPr>
        <w:t>6</w:t>
      </w:r>
      <w:r>
        <w:rPr>
          <w:rFonts w:hint="eastAsia" w:asciiTheme="minorEastAsia" w:hAnsiTheme="minorEastAsia" w:eastAsiaTheme="minorEastAsia"/>
          <w:b/>
          <w:szCs w:val="24"/>
          <w:highlight w:val="none"/>
        </w:rPr>
        <w:t>日</w:t>
      </w:r>
    </w:p>
    <w:p w14:paraId="55190F5A">
      <w:pPr>
        <w:rPr>
          <w:highlight w:val="none"/>
        </w:rPr>
        <w:sectPr>
          <w:footerReference r:id="rId3" w:type="default"/>
          <w:pgSz w:w="11907" w:h="16840"/>
          <w:pgMar w:top="1247" w:right="1361" w:bottom="1247" w:left="1361" w:header="720" w:footer="720" w:gutter="0"/>
          <w:pgNumType w:fmt="decimal"/>
          <w:cols w:space="720" w:num="1"/>
          <w:docGrid w:linePitch="286" w:charSpace="0"/>
        </w:sectPr>
      </w:pPr>
    </w:p>
    <w:p w14:paraId="3164A058">
      <w:pPr>
        <w:pStyle w:val="3"/>
        <w:spacing w:line="360" w:lineRule="auto"/>
        <w:jc w:val="left"/>
        <w:rPr>
          <w:rFonts w:asciiTheme="minorEastAsia" w:hAnsiTheme="minorEastAsia" w:eastAsiaTheme="minorEastAsia"/>
          <w:sz w:val="24"/>
          <w:szCs w:val="24"/>
          <w:highlight w:val="none"/>
        </w:rPr>
      </w:pPr>
      <w:bookmarkStart w:id="14" w:name="_Toc76215650"/>
      <w:r>
        <w:rPr>
          <w:rFonts w:hint="eastAsia" w:asciiTheme="minorEastAsia" w:hAnsiTheme="minorEastAsia" w:eastAsiaTheme="minorEastAsia"/>
          <w:sz w:val="24"/>
          <w:szCs w:val="24"/>
          <w:highlight w:val="none"/>
        </w:rPr>
        <w:t>附件 1-1：投标意向确认书格式</w:t>
      </w:r>
      <w:bookmarkEnd w:id="13"/>
      <w:bookmarkEnd w:id="14"/>
    </w:p>
    <w:p w14:paraId="79F8B058">
      <w:pPr>
        <w:spacing w:line="360" w:lineRule="auto"/>
        <w:rPr>
          <w:rFonts w:asciiTheme="minorEastAsia" w:hAnsiTheme="minorEastAsia" w:eastAsiaTheme="minorEastAsia"/>
          <w:szCs w:val="24"/>
          <w:highlight w:val="none"/>
        </w:rPr>
      </w:pPr>
      <w:r>
        <w:rPr>
          <w:rFonts w:hint="eastAsia" w:asciiTheme="minorEastAsia" w:hAnsiTheme="minorEastAsia" w:eastAsiaTheme="minorEastAsia"/>
          <w:b/>
          <w:bCs/>
          <w:szCs w:val="24"/>
          <w:highlight w:val="none"/>
        </w:rPr>
        <w:t>发至：</w:t>
      </w:r>
      <w:r>
        <w:rPr>
          <w:rFonts w:hint="eastAsia" w:asciiTheme="minorEastAsia" w:hAnsiTheme="minorEastAsia" w:eastAsiaTheme="minorEastAsia"/>
          <w:szCs w:val="24"/>
          <w:highlight w:val="none"/>
        </w:rPr>
        <w:t>深</w:t>
      </w:r>
      <w:r>
        <w:rPr>
          <w:rFonts w:asciiTheme="minorEastAsia" w:hAnsiTheme="minorEastAsia" w:eastAsiaTheme="minorEastAsia"/>
          <w:szCs w:val="24"/>
          <w:highlight w:val="none"/>
        </w:rPr>
        <w:t>圳</w:t>
      </w:r>
      <w:r>
        <w:rPr>
          <w:rFonts w:hint="eastAsia" w:asciiTheme="minorEastAsia" w:hAnsiTheme="minorEastAsia" w:eastAsiaTheme="minorEastAsia"/>
          <w:szCs w:val="24"/>
          <w:highlight w:val="none"/>
        </w:rPr>
        <w:t>市</w:t>
      </w:r>
      <w:r>
        <w:rPr>
          <w:rFonts w:asciiTheme="minorEastAsia" w:hAnsiTheme="minorEastAsia" w:eastAsiaTheme="minorEastAsia"/>
          <w:szCs w:val="24"/>
          <w:highlight w:val="none"/>
        </w:rPr>
        <w:t>龙岗区坪地</w:t>
      </w:r>
      <w:r>
        <w:rPr>
          <w:rFonts w:hint="eastAsia" w:asciiTheme="minorEastAsia" w:hAnsiTheme="minorEastAsia" w:eastAsiaTheme="minorEastAsia"/>
          <w:szCs w:val="24"/>
          <w:highlight w:val="none"/>
        </w:rPr>
        <w:t>街道</w:t>
      </w:r>
      <w:r>
        <w:rPr>
          <w:rFonts w:asciiTheme="minorEastAsia" w:hAnsiTheme="minorEastAsia" w:eastAsiaTheme="minorEastAsia"/>
          <w:szCs w:val="24"/>
          <w:highlight w:val="none"/>
        </w:rPr>
        <w:t>朗坤</w:t>
      </w:r>
      <w:r>
        <w:rPr>
          <w:rFonts w:hint="eastAsia" w:asciiTheme="minorEastAsia" w:hAnsiTheme="minorEastAsia" w:eastAsiaTheme="minorEastAsia"/>
          <w:szCs w:val="24"/>
          <w:highlight w:val="none"/>
        </w:rPr>
        <w:t>科技</w:t>
      </w:r>
      <w:r>
        <w:rPr>
          <w:rFonts w:asciiTheme="minorEastAsia" w:hAnsiTheme="minorEastAsia" w:eastAsiaTheme="minorEastAsia"/>
          <w:szCs w:val="24"/>
          <w:highlight w:val="none"/>
        </w:rPr>
        <w:t>园</w:t>
      </w:r>
      <w:r>
        <w:rPr>
          <w:rFonts w:hint="eastAsia" w:asciiTheme="minorEastAsia" w:hAnsiTheme="minorEastAsia" w:eastAsiaTheme="minorEastAsia"/>
          <w:szCs w:val="24"/>
          <w:highlight w:val="none"/>
        </w:rPr>
        <w:t>1</w:t>
      </w:r>
      <w:r>
        <w:rPr>
          <w:rFonts w:asciiTheme="minorEastAsia" w:hAnsiTheme="minorEastAsia" w:eastAsiaTheme="minorEastAsia"/>
          <w:szCs w:val="24"/>
          <w:highlight w:val="none"/>
        </w:rPr>
        <w:t>0</w:t>
      </w:r>
      <w:r>
        <w:rPr>
          <w:rFonts w:hint="eastAsia" w:asciiTheme="minorEastAsia" w:hAnsiTheme="minorEastAsia" w:eastAsiaTheme="minorEastAsia"/>
          <w:szCs w:val="24"/>
          <w:highlight w:val="none"/>
        </w:rPr>
        <w:t xml:space="preserve">楼  </w:t>
      </w:r>
      <w:r>
        <w:rPr>
          <w:rFonts w:asciiTheme="minorEastAsia" w:hAnsiTheme="minorEastAsia" w:eastAsiaTheme="minorEastAsia"/>
          <w:szCs w:val="24"/>
          <w:highlight w:val="none"/>
        </w:rPr>
        <w:t xml:space="preserve">     </w:t>
      </w:r>
      <w:r>
        <w:rPr>
          <w:rFonts w:hint="eastAsia" w:asciiTheme="minorEastAsia" w:hAnsiTheme="minorEastAsia" w:eastAsiaTheme="minorEastAsia"/>
          <w:b/>
          <w:bCs/>
          <w:szCs w:val="24"/>
          <w:highlight w:val="none"/>
        </w:rPr>
        <w:t>发自：</w:t>
      </w:r>
      <w:r>
        <w:rPr>
          <w:rFonts w:hint="eastAsia" w:asciiTheme="minorEastAsia" w:hAnsiTheme="minorEastAsia" w:eastAsiaTheme="minorEastAsia"/>
          <w:szCs w:val="24"/>
          <w:highlight w:val="none"/>
        </w:rPr>
        <w:t>投标商地址</w:t>
      </w:r>
    </w:p>
    <w:p w14:paraId="2693FAAF">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深圳市朗坤科技股份有限公司               投标商名称：</w:t>
      </w:r>
      <w:r>
        <w:rPr>
          <w:rFonts w:hint="eastAsia" w:asciiTheme="minorEastAsia" w:hAnsiTheme="minorEastAsia" w:eastAsiaTheme="minorEastAsia"/>
          <w:szCs w:val="24"/>
          <w:highlight w:val="none"/>
          <w:u w:val="single"/>
        </w:rPr>
        <w:t xml:space="preserve">               </w:t>
      </w:r>
    </w:p>
    <w:p w14:paraId="29251078">
      <w:pPr>
        <w:spacing w:line="360" w:lineRule="auto"/>
        <w:ind w:firstLine="787" w:firstLineChars="328"/>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收件人：</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发件人：</w:t>
      </w:r>
      <w:r>
        <w:rPr>
          <w:rFonts w:hint="eastAsia" w:asciiTheme="minorEastAsia" w:hAnsiTheme="minorEastAsia" w:eastAsiaTheme="minorEastAsia"/>
          <w:szCs w:val="24"/>
          <w:highlight w:val="none"/>
          <w:u w:val="single"/>
        </w:rPr>
        <w:t xml:space="preserve">                   </w:t>
      </w:r>
    </w:p>
    <w:p w14:paraId="42DE173C">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职务：</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职务：</w:t>
      </w:r>
      <w:r>
        <w:rPr>
          <w:rFonts w:hint="eastAsia" w:asciiTheme="minorEastAsia" w:hAnsiTheme="minorEastAsia" w:eastAsiaTheme="minorEastAsia"/>
          <w:szCs w:val="24"/>
          <w:highlight w:val="none"/>
          <w:u w:val="single"/>
        </w:rPr>
        <w:t xml:space="preserve">                     </w:t>
      </w:r>
    </w:p>
    <w:p w14:paraId="2FD6C282">
      <w:pPr>
        <w:spacing w:line="360" w:lineRule="auto"/>
        <w:ind w:firstLine="787" w:firstLineChars="328"/>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电话：</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电话：</w:t>
      </w:r>
      <w:r>
        <w:rPr>
          <w:rFonts w:hint="eastAsia" w:asciiTheme="minorEastAsia" w:hAnsiTheme="minorEastAsia" w:eastAsiaTheme="minorEastAsia"/>
          <w:szCs w:val="24"/>
          <w:highlight w:val="none"/>
          <w:u w:val="single"/>
        </w:rPr>
        <w:t xml:space="preserve">                     </w:t>
      </w:r>
    </w:p>
    <w:p w14:paraId="05D9EE6B">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传真：</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传真：</w:t>
      </w:r>
      <w:r>
        <w:rPr>
          <w:rFonts w:hint="eastAsia" w:asciiTheme="minorEastAsia" w:hAnsiTheme="minorEastAsia" w:eastAsiaTheme="minorEastAsia"/>
          <w:szCs w:val="24"/>
          <w:highlight w:val="none"/>
          <w:u w:val="single"/>
        </w:rPr>
        <w:t xml:space="preserve">                     </w:t>
      </w:r>
    </w:p>
    <w:p w14:paraId="39567B7B">
      <w:pPr>
        <w:spacing w:line="360" w:lineRule="auto"/>
        <w:ind w:firstLine="482" w:firstLineChars="200"/>
        <w:jc w:val="center"/>
        <w:rPr>
          <w:rFonts w:asciiTheme="minorEastAsia" w:hAnsiTheme="minorEastAsia" w:eastAsiaTheme="minorEastAsia"/>
          <w:b/>
          <w:szCs w:val="24"/>
          <w:highlight w:val="none"/>
        </w:rPr>
      </w:pPr>
    </w:p>
    <w:p w14:paraId="6B7F7624">
      <w:pPr>
        <w:spacing w:line="360" w:lineRule="auto"/>
        <w:ind w:firstLine="482" w:firstLineChars="200"/>
        <w:jc w:val="center"/>
        <w:rPr>
          <w:rFonts w:asciiTheme="minorEastAsia" w:hAnsiTheme="minorEastAsia" w:eastAsiaTheme="minorEastAsia"/>
          <w:b/>
          <w:szCs w:val="24"/>
          <w:highlight w:val="none"/>
        </w:rPr>
      </w:pPr>
      <w:r>
        <w:rPr>
          <w:rFonts w:hint="eastAsia" w:asciiTheme="minorEastAsia" w:hAnsiTheme="minorEastAsia" w:eastAsiaTheme="minorEastAsia"/>
          <w:b/>
          <w:szCs w:val="24"/>
          <w:highlight w:val="none"/>
        </w:rPr>
        <w:t>投标意向确认书</w:t>
      </w:r>
    </w:p>
    <w:p w14:paraId="36BA9368">
      <w:pPr>
        <w:spacing w:line="360" w:lineRule="auto"/>
        <w:rPr>
          <w:rFonts w:asciiTheme="minorEastAsia" w:hAnsiTheme="minorEastAsia" w:eastAsiaTheme="minorEastAsia"/>
          <w:b/>
          <w:bCs/>
          <w:szCs w:val="24"/>
          <w:highlight w:val="none"/>
        </w:rPr>
      </w:pPr>
    </w:p>
    <w:p w14:paraId="5BBF12CA">
      <w:pPr>
        <w:spacing w:line="360" w:lineRule="auto"/>
        <w:rPr>
          <w:rFonts w:asciiTheme="minorEastAsia" w:hAnsiTheme="minorEastAsia" w:eastAsiaTheme="minorEastAsia"/>
          <w:szCs w:val="24"/>
          <w:highlight w:val="none"/>
        </w:rPr>
      </w:pPr>
    </w:p>
    <w:p w14:paraId="60099F26">
      <w:pPr>
        <w:spacing w:line="360" w:lineRule="auto"/>
        <w:jc w:val="left"/>
        <w:rPr>
          <w:rFonts w:hint="eastAsia" w:asciiTheme="minorEastAsia" w:hAnsiTheme="minorEastAsia" w:eastAsiaTheme="minorEastAsia"/>
          <w:szCs w:val="24"/>
          <w:highlight w:val="none"/>
        </w:rPr>
      </w:pPr>
      <w:r>
        <w:rPr>
          <w:rFonts w:hint="eastAsia" w:asciiTheme="minorEastAsia" w:hAnsiTheme="minorEastAsia" w:eastAsiaTheme="minorEastAsia"/>
          <w:szCs w:val="24"/>
          <w:highlight w:val="none"/>
        </w:rPr>
        <w:t>兹声明我方收到了</w:t>
      </w:r>
      <w:r>
        <w:rPr>
          <w:rFonts w:hint="eastAsia" w:asciiTheme="minorEastAsia" w:hAnsiTheme="minorEastAsia" w:eastAsiaTheme="minorEastAsia"/>
          <w:szCs w:val="24"/>
          <w:highlight w:val="none"/>
          <w:u w:val="single"/>
          <w:lang w:val="en-US" w:eastAsia="zh-CN"/>
        </w:rPr>
        <w:t>北京通州生物质资源化项目</w:t>
      </w:r>
      <w:r>
        <w:rPr>
          <w:rFonts w:hint="eastAsia" w:asciiTheme="minorEastAsia" w:hAnsiTheme="minorEastAsia" w:eastAsiaTheme="minorEastAsia"/>
          <w:szCs w:val="24"/>
          <w:highlight w:val="none"/>
          <w:u w:val="single"/>
        </w:rPr>
        <w:t>之</w:t>
      </w:r>
      <w:r>
        <w:rPr>
          <w:rFonts w:hint="eastAsia" w:ascii="宋体" w:hAnsi="宋体" w:eastAsia="宋体" w:cs="宋体"/>
          <w:sz w:val="24"/>
          <w:szCs w:val="24"/>
          <w:highlight w:val="none"/>
          <w:u w:val="single"/>
          <w:lang w:eastAsia="zh-CN"/>
        </w:rPr>
        <w:t>数智化工厂</w:t>
      </w:r>
      <w:r>
        <w:rPr>
          <w:rFonts w:ascii="宋体" w:hAnsi="宋体" w:eastAsia="宋体" w:cs="宋体"/>
          <w:sz w:val="24"/>
          <w:szCs w:val="24"/>
          <w:highlight w:val="none"/>
          <w:u w:val="single"/>
        </w:rPr>
        <w:t>设计标邀请招标函</w:t>
      </w:r>
      <w:r>
        <w:rPr>
          <w:rFonts w:hint="eastAsia" w:asciiTheme="minorEastAsia" w:hAnsiTheme="minorEastAsia" w:eastAsiaTheme="minorEastAsia"/>
          <w:szCs w:val="24"/>
          <w:highlight w:val="none"/>
          <w:u w:val="single"/>
        </w:rPr>
        <w:t>购</w:t>
      </w:r>
      <w:r>
        <w:rPr>
          <w:rFonts w:hint="eastAsia" w:asciiTheme="minorEastAsia" w:hAnsiTheme="minorEastAsia" w:eastAsiaTheme="minorEastAsia"/>
          <w:szCs w:val="24"/>
          <w:highlight w:val="none"/>
        </w:rPr>
        <w:t>的完整招标文件。</w:t>
      </w:r>
    </w:p>
    <w:p w14:paraId="393C713A">
      <w:pPr>
        <w:spacing w:line="360" w:lineRule="auto"/>
        <w:jc w:val="left"/>
        <w:rPr>
          <w:rFonts w:asciiTheme="minorEastAsia" w:hAnsiTheme="minorEastAsia" w:eastAsiaTheme="minorEastAsia"/>
          <w:b/>
          <w:szCs w:val="24"/>
          <w:highlight w:val="none"/>
        </w:rPr>
      </w:pPr>
      <w:r>
        <w:rPr>
          <w:rFonts w:asciiTheme="minorEastAsia" w:hAnsiTheme="minorEastAsia" w:eastAsiaTheme="minorEastAsia"/>
          <w:szCs w:val="24"/>
          <w:highlight w:val="none"/>
        </w:rPr>
        <w:t>(</w:t>
      </w:r>
      <w:r>
        <w:rPr>
          <w:rFonts w:hint="eastAsia" w:asciiTheme="minorEastAsia" w:hAnsiTheme="minorEastAsia" w:eastAsiaTheme="minorEastAsia"/>
          <w:szCs w:val="24"/>
          <w:highlight w:val="none"/>
        </w:rPr>
        <w:t>招标编号：ITB-LK-TZSWZ-CG-ZB-07</w:t>
      </w:r>
      <w:r>
        <w:rPr>
          <w:rFonts w:hint="eastAsia" w:asciiTheme="minorEastAsia" w:hAnsiTheme="minorEastAsia" w:eastAsiaTheme="minorEastAsia"/>
          <w:szCs w:val="24"/>
          <w:highlight w:val="none"/>
          <w:lang w:val="en-US" w:eastAsia="zh-CN"/>
        </w:rPr>
        <w:t>5</w:t>
      </w:r>
      <w:r>
        <w:rPr>
          <w:rFonts w:hint="eastAsia" w:asciiTheme="minorEastAsia" w:hAnsiTheme="minorEastAsia" w:eastAsiaTheme="minorEastAsia"/>
          <w:b/>
          <w:szCs w:val="24"/>
          <w:highlight w:val="none"/>
        </w:rPr>
        <w:t>)</w:t>
      </w:r>
    </w:p>
    <w:p w14:paraId="0048CAE9">
      <w:pPr>
        <w:spacing w:line="360" w:lineRule="auto"/>
        <w:ind w:firstLine="480"/>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我方在此确认，将（选择1或2）：</w:t>
      </w:r>
    </w:p>
    <w:p w14:paraId="6C0D0381">
      <w:pPr>
        <w:spacing w:line="360" w:lineRule="auto"/>
        <w:ind w:left="960" w:leftChars="400"/>
        <w:rPr>
          <w:rFonts w:asciiTheme="minorEastAsia" w:hAnsiTheme="minorEastAsia" w:eastAsiaTheme="minorEastAsia"/>
          <w:szCs w:val="24"/>
          <w:highlight w:val="none"/>
        </w:rPr>
      </w:pPr>
      <w:r>
        <w:rPr>
          <w:rFonts w:asciiTheme="minorEastAsia" w:hAnsiTheme="minorEastAsia" w:eastAsiaTheme="minorEastAsia"/>
          <w:szCs w:val="24"/>
          <w:highlight w:val="none"/>
        </w:rPr>
        <w:pict>
          <v:rect id="_x0000_s1028" o:spid="_x0000_s1028" o:spt="1" style="position:absolute;left:0pt;margin-left:27.15pt;margin-top:0.1pt;height:13.35pt;width:12.55pt;z-index:251659264;mso-width-relative:page;mso-height-relative:page;" coordsize="21600,21600">
            <v:path/>
            <v:fill focussize="0,0"/>
            <v:stroke/>
            <v:imagedata o:title=""/>
            <o:lock v:ext="edit"/>
          </v:rect>
        </w:pict>
      </w:r>
      <w:r>
        <w:rPr>
          <w:rFonts w:hint="eastAsia" w:asciiTheme="minorEastAsia" w:hAnsiTheme="minorEastAsia" w:eastAsiaTheme="minorEastAsia"/>
          <w:szCs w:val="24"/>
          <w:highlight w:val="none"/>
        </w:rPr>
        <w:t>1不参与本次招标，因为_________________________________。</w:t>
      </w:r>
    </w:p>
    <w:p w14:paraId="1C3D1C7C">
      <w:pPr>
        <w:spacing w:line="360" w:lineRule="auto"/>
        <w:ind w:left="960" w:leftChars="400"/>
        <w:rPr>
          <w:rFonts w:asciiTheme="minorEastAsia" w:hAnsiTheme="minorEastAsia" w:eastAsiaTheme="minorEastAsia"/>
          <w:szCs w:val="24"/>
          <w:highlight w:val="none"/>
        </w:rPr>
      </w:pPr>
      <w:r>
        <w:rPr>
          <w:rFonts w:asciiTheme="minorEastAsia" w:hAnsiTheme="minorEastAsia" w:eastAsiaTheme="minorEastAsia"/>
          <w:szCs w:val="24"/>
          <w:highlight w:val="none"/>
        </w:rPr>
        <w:pict>
          <v:rect id="_x0000_s1029" o:spid="_x0000_s1029" o:spt="1" style="position:absolute;left:0pt;margin-left:27pt;margin-top:0.15pt;height:13.35pt;width:12.3pt;z-index:251660288;mso-width-relative:page;mso-height-relative:page;" coordsize="21600,21600">
            <v:path/>
            <v:fill focussize="0,0"/>
            <v:stroke/>
            <v:imagedata o:title=""/>
            <o:lock v:ext="edit"/>
          </v:rect>
        </w:pict>
      </w:r>
      <w:r>
        <w:rPr>
          <w:rFonts w:hint="eastAsia" w:asciiTheme="minorEastAsia" w:hAnsiTheme="minorEastAsia" w:eastAsiaTheme="minorEastAsia"/>
          <w:szCs w:val="24"/>
          <w:highlight w:val="none"/>
        </w:rPr>
        <w:t>2按招标文件的要求编制投标文件，并按规定的日期和时间提交我们的投标文件。</w:t>
      </w:r>
    </w:p>
    <w:p w14:paraId="68003234">
      <w:pPr>
        <w:pStyle w:val="6"/>
        <w:spacing w:line="360" w:lineRule="auto"/>
        <w:ind w:firstLine="480"/>
        <w:jc w:val="both"/>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 xml:space="preserve"> 注：确认办法是在以上数字前的方框内划</w:t>
      </w:r>
      <w:r>
        <w:rPr>
          <w:rFonts w:hint="eastAsia" w:asciiTheme="minorEastAsia" w:hAnsiTheme="minorEastAsia" w:eastAsiaTheme="minorEastAsia"/>
          <w:sz w:val="24"/>
          <w:szCs w:val="24"/>
          <w:highlight w:val="none"/>
        </w:rPr>
        <w:sym w:font="Symbol" w:char="F0D6"/>
      </w:r>
      <w:r>
        <w:rPr>
          <w:rFonts w:hint="eastAsia" w:asciiTheme="minorEastAsia" w:hAnsiTheme="minorEastAsia" w:eastAsiaTheme="minorEastAsia"/>
          <w:sz w:val="24"/>
          <w:szCs w:val="24"/>
          <w:highlight w:val="none"/>
        </w:rPr>
        <w:t xml:space="preserve">  。</w:t>
      </w:r>
    </w:p>
    <w:p w14:paraId="37BDAE2D">
      <w:pPr>
        <w:spacing w:line="360" w:lineRule="auto"/>
        <w:ind w:firstLine="480"/>
        <w:rPr>
          <w:rFonts w:asciiTheme="minorEastAsia" w:hAnsiTheme="minorEastAsia" w:eastAsiaTheme="minorEastAsia"/>
          <w:szCs w:val="24"/>
          <w:highlight w:val="none"/>
        </w:rPr>
      </w:pPr>
    </w:p>
    <w:p w14:paraId="564592B0">
      <w:pPr>
        <w:spacing w:line="360" w:lineRule="auto"/>
        <w:ind w:firstLine="480"/>
        <w:rPr>
          <w:rFonts w:asciiTheme="minorEastAsia" w:hAnsiTheme="minorEastAsia" w:eastAsiaTheme="minorEastAsia"/>
          <w:szCs w:val="24"/>
          <w:highlight w:val="none"/>
        </w:rPr>
      </w:pPr>
    </w:p>
    <w:p w14:paraId="3A98766F">
      <w:pPr>
        <w:spacing w:line="360" w:lineRule="auto"/>
        <w:ind w:left="6264" w:leftChars="2610" w:firstLine="720" w:firstLineChars="300"/>
        <w:rPr>
          <w:rFonts w:asciiTheme="minorEastAsia" w:hAnsiTheme="minorEastAsia" w:eastAsiaTheme="minorEastAsia"/>
          <w:szCs w:val="24"/>
          <w:highlight w:val="none"/>
        </w:rPr>
      </w:pPr>
    </w:p>
    <w:p w14:paraId="14B75470">
      <w:pPr>
        <w:spacing w:line="360" w:lineRule="auto"/>
        <w:ind w:left="6264" w:leftChars="2610" w:firstLine="720" w:firstLineChars="300"/>
        <w:rPr>
          <w:rFonts w:asciiTheme="minorEastAsia" w:hAnsiTheme="minorEastAsia" w:eastAsiaTheme="minorEastAsia"/>
          <w:szCs w:val="24"/>
          <w:highlight w:val="none"/>
        </w:rPr>
      </w:pPr>
    </w:p>
    <w:p w14:paraId="06A060DB">
      <w:pPr>
        <w:spacing w:line="360" w:lineRule="auto"/>
        <w:ind w:left="6264" w:leftChars="2610" w:firstLine="720" w:firstLineChars="300"/>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签章：</w:t>
      </w:r>
      <w:r>
        <w:rPr>
          <w:rFonts w:hint="eastAsia" w:asciiTheme="minorEastAsia" w:hAnsiTheme="minorEastAsia" w:eastAsiaTheme="minorEastAsia"/>
          <w:szCs w:val="24"/>
          <w:highlight w:val="none"/>
          <w:u w:val="single"/>
        </w:rPr>
        <w:t xml:space="preserve">   </w:t>
      </w:r>
      <w:r>
        <w:rPr>
          <w:rFonts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u w:val="single"/>
        </w:rPr>
        <w:t xml:space="preserve">            </w:t>
      </w:r>
    </w:p>
    <w:p w14:paraId="7399051C">
      <w:pPr>
        <w:spacing w:line="360" w:lineRule="auto"/>
        <w:ind w:left="6264" w:leftChars="2610" w:firstLine="720" w:firstLineChars="300"/>
        <w:rPr>
          <w:rFonts w:asciiTheme="minorEastAsia" w:hAnsiTheme="minorEastAsia" w:eastAsiaTheme="minorEastAsia"/>
          <w:szCs w:val="24"/>
          <w:highlight w:val="none"/>
        </w:rPr>
      </w:pPr>
    </w:p>
    <w:p w14:paraId="0C18B570">
      <w:pPr>
        <w:spacing w:line="360" w:lineRule="auto"/>
        <w:ind w:left="6264" w:leftChars="2610" w:firstLine="720" w:firstLineChars="300"/>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日期：</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u w:val="single"/>
          <w:lang w:val="en-US" w:eastAsia="zh-CN"/>
        </w:rPr>
        <w:t xml:space="preserve">       </w:t>
      </w:r>
      <w:r>
        <w:rPr>
          <w:rFonts w:hint="eastAsia" w:asciiTheme="minorEastAsia" w:hAnsiTheme="minorEastAsia" w:eastAsiaTheme="minorEastAsia"/>
          <w:szCs w:val="24"/>
          <w:highlight w:val="none"/>
          <w:u w:val="single"/>
        </w:rPr>
        <w:t xml:space="preserve">    </w:t>
      </w:r>
    </w:p>
    <w:p w14:paraId="563F835A">
      <w:pPr>
        <w:pStyle w:val="3"/>
        <w:spacing w:line="360" w:lineRule="auto"/>
        <w:jc w:val="left"/>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br w:type="page"/>
      </w:r>
      <w:bookmarkStart w:id="15" w:name="_Toc176085607"/>
      <w:bookmarkStart w:id="16" w:name="_Toc174340230"/>
      <w:bookmarkStart w:id="17" w:name="_Toc174978534"/>
      <w:bookmarkStart w:id="18" w:name="_Toc76215651"/>
      <w:r>
        <w:rPr>
          <w:rFonts w:hint="eastAsia" w:asciiTheme="minorEastAsia" w:hAnsiTheme="minorEastAsia" w:eastAsiaTheme="minorEastAsia"/>
          <w:sz w:val="24"/>
          <w:szCs w:val="24"/>
          <w:highlight w:val="none"/>
        </w:rPr>
        <w:t>附件 1-2：投标联系人确认书格式</w:t>
      </w:r>
      <w:bookmarkEnd w:id="15"/>
      <w:bookmarkEnd w:id="16"/>
      <w:bookmarkEnd w:id="17"/>
      <w:bookmarkEnd w:id="18"/>
    </w:p>
    <w:p w14:paraId="254100AC">
      <w:pPr>
        <w:spacing w:line="360" w:lineRule="auto"/>
        <w:rPr>
          <w:rFonts w:asciiTheme="minorEastAsia" w:hAnsiTheme="minorEastAsia" w:eastAsiaTheme="minorEastAsia"/>
          <w:szCs w:val="24"/>
          <w:highlight w:val="none"/>
        </w:rPr>
      </w:pPr>
      <w:r>
        <w:rPr>
          <w:rFonts w:hint="eastAsia" w:asciiTheme="minorEastAsia" w:hAnsiTheme="minorEastAsia" w:eastAsiaTheme="minorEastAsia"/>
          <w:b/>
          <w:bCs/>
          <w:szCs w:val="24"/>
          <w:highlight w:val="none"/>
        </w:rPr>
        <w:t>发至：</w:t>
      </w:r>
      <w:r>
        <w:rPr>
          <w:rFonts w:hint="eastAsia" w:asciiTheme="minorEastAsia" w:hAnsiTheme="minorEastAsia" w:eastAsiaTheme="minorEastAsia"/>
          <w:szCs w:val="24"/>
          <w:highlight w:val="none"/>
        </w:rPr>
        <w:t>深</w:t>
      </w:r>
      <w:r>
        <w:rPr>
          <w:rFonts w:asciiTheme="minorEastAsia" w:hAnsiTheme="minorEastAsia" w:eastAsiaTheme="minorEastAsia"/>
          <w:szCs w:val="24"/>
          <w:highlight w:val="none"/>
        </w:rPr>
        <w:t>圳</w:t>
      </w:r>
      <w:r>
        <w:rPr>
          <w:rFonts w:hint="eastAsia" w:asciiTheme="minorEastAsia" w:hAnsiTheme="minorEastAsia" w:eastAsiaTheme="minorEastAsia"/>
          <w:szCs w:val="24"/>
          <w:highlight w:val="none"/>
        </w:rPr>
        <w:t>市</w:t>
      </w:r>
      <w:r>
        <w:rPr>
          <w:rFonts w:asciiTheme="minorEastAsia" w:hAnsiTheme="minorEastAsia" w:eastAsiaTheme="minorEastAsia"/>
          <w:szCs w:val="24"/>
          <w:highlight w:val="none"/>
        </w:rPr>
        <w:t>龙岗区坪地</w:t>
      </w:r>
      <w:r>
        <w:rPr>
          <w:rFonts w:hint="eastAsia" w:asciiTheme="minorEastAsia" w:hAnsiTheme="minorEastAsia" w:eastAsiaTheme="minorEastAsia"/>
          <w:szCs w:val="24"/>
          <w:highlight w:val="none"/>
        </w:rPr>
        <w:t>街道</w:t>
      </w:r>
      <w:r>
        <w:rPr>
          <w:rFonts w:asciiTheme="minorEastAsia" w:hAnsiTheme="minorEastAsia" w:eastAsiaTheme="minorEastAsia"/>
          <w:szCs w:val="24"/>
          <w:highlight w:val="none"/>
        </w:rPr>
        <w:t>朗坤</w:t>
      </w:r>
      <w:r>
        <w:rPr>
          <w:rFonts w:hint="eastAsia" w:asciiTheme="minorEastAsia" w:hAnsiTheme="minorEastAsia" w:eastAsiaTheme="minorEastAsia"/>
          <w:szCs w:val="24"/>
          <w:highlight w:val="none"/>
        </w:rPr>
        <w:t>科技</w:t>
      </w:r>
      <w:r>
        <w:rPr>
          <w:rFonts w:asciiTheme="minorEastAsia" w:hAnsiTheme="minorEastAsia" w:eastAsiaTheme="minorEastAsia"/>
          <w:szCs w:val="24"/>
          <w:highlight w:val="none"/>
        </w:rPr>
        <w:t>园</w:t>
      </w:r>
      <w:r>
        <w:rPr>
          <w:rFonts w:hint="eastAsia" w:asciiTheme="minorEastAsia" w:hAnsiTheme="minorEastAsia" w:eastAsiaTheme="minorEastAsia"/>
          <w:szCs w:val="24"/>
          <w:highlight w:val="none"/>
        </w:rPr>
        <w:t>1</w:t>
      </w:r>
      <w:r>
        <w:rPr>
          <w:rFonts w:asciiTheme="minorEastAsia" w:hAnsiTheme="minorEastAsia" w:eastAsiaTheme="minorEastAsia"/>
          <w:szCs w:val="24"/>
          <w:highlight w:val="none"/>
        </w:rPr>
        <w:t>0</w:t>
      </w:r>
      <w:r>
        <w:rPr>
          <w:rFonts w:hint="eastAsia" w:asciiTheme="minorEastAsia" w:hAnsiTheme="minorEastAsia" w:eastAsiaTheme="minorEastAsia"/>
          <w:szCs w:val="24"/>
          <w:highlight w:val="none"/>
        </w:rPr>
        <w:t xml:space="preserve">楼  </w:t>
      </w:r>
      <w:r>
        <w:rPr>
          <w:rFonts w:asciiTheme="minorEastAsia" w:hAnsiTheme="minorEastAsia" w:eastAsiaTheme="minorEastAsia"/>
          <w:szCs w:val="24"/>
          <w:highlight w:val="none"/>
        </w:rPr>
        <w:t xml:space="preserve">     </w:t>
      </w:r>
      <w:r>
        <w:rPr>
          <w:rFonts w:hint="eastAsia" w:asciiTheme="minorEastAsia" w:hAnsiTheme="minorEastAsia" w:eastAsiaTheme="minorEastAsia"/>
          <w:b/>
          <w:bCs/>
          <w:szCs w:val="24"/>
          <w:highlight w:val="none"/>
        </w:rPr>
        <w:t>发自：</w:t>
      </w:r>
      <w:r>
        <w:rPr>
          <w:rFonts w:hint="eastAsia" w:asciiTheme="minorEastAsia" w:hAnsiTheme="minorEastAsia" w:eastAsiaTheme="minorEastAsia"/>
          <w:szCs w:val="24"/>
          <w:highlight w:val="none"/>
        </w:rPr>
        <w:t>投标商地址</w:t>
      </w:r>
    </w:p>
    <w:p w14:paraId="489ADF46">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深圳市朗坤科技股份有限公司</w:t>
      </w:r>
      <w:r>
        <w:rPr>
          <w:rFonts w:hint="eastAsia" w:asciiTheme="minorEastAsia" w:hAnsiTheme="minorEastAsia" w:eastAsiaTheme="minorEastAsia"/>
          <w:szCs w:val="24"/>
          <w:highlight w:val="none"/>
          <w:lang w:val="en-US" w:eastAsia="zh-CN"/>
        </w:rPr>
        <w:t xml:space="preserve">     </w:t>
      </w:r>
      <w:r>
        <w:rPr>
          <w:rFonts w:hint="eastAsia" w:asciiTheme="minorEastAsia" w:hAnsiTheme="minorEastAsia" w:eastAsiaTheme="minorEastAsia"/>
          <w:szCs w:val="24"/>
          <w:highlight w:val="none"/>
        </w:rPr>
        <w:t xml:space="preserve">          投标商名称：</w:t>
      </w:r>
      <w:r>
        <w:rPr>
          <w:rFonts w:hint="eastAsia" w:asciiTheme="minorEastAsia" w:hAnsiTheme="minorEastAsia" w:eastAsiaTheme="minorEastAsia"/>
          <w:szCs w:val="24"/>
          <w:highlight w:val="none"/>
          <w:u w:val="single"/>
        </w:rPr>
        <w:t xml:space="preserve">               </w:t>
      </w:r>
    </w:p>
    <w:p w14:paraId="460A4943">
      <w:pPr>
        <w:spacing w:line="360" w:lineRule="auto"/>
        <w:ind w:firstLine="787" w:firstLineChars="328"/>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收件人：</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发件人：</w:t>
      </w:r>
      <w:r>
        <w:rPr>
          <w:rFonts w:hint="eastAsia" w:asciiTheme="minorEastAsia" w:hAnsiTheme="minorEastAsia" w:eastAsiaTheme="minorEastAsia"/>
          <w:szCs w:val="24"/>
          <w:highlight w:val="none"/>
          <w:u w:val="single"/>
        </w:rPr>
        <w:t xml:space="preserve">                   </w:t>
      </w:r>
    </w:p>
    <w:p w14:paraId="2F5DD7B7">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职务：</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职务：</w:t>
      </w:r>
      <w:r>
        <w:rPr>
          <w:rFonts w:hint="eastAsia" w:asciiTheme="minorEastAsia" w:hAnsiTheme="minorEastAsia" w:eastAsiaTheme="minorEastAsia"/>
          <w:szCs w:val="24"/>
          <w:highlight w:val="none"/>
          <w:u w:val="single"/>
        </w:rPr>
        <w:t xml:space="preserve">                     </w:t>
      </w:r>
    </w:p>
    <w:p w14:paraId="24171DD8">
      <w:pPr>
        <w:spacing w:line="360" w:lineRule="auto"/>
        <w:ind w:firstLine="787" w:firstLineChars="328"/>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电话：</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电话：</w:t>
      </w:r>
      <w:r>
        <w:rPr>
          <w:rFonts w:hint="eastAsia" w:asciiTheme="minorEastAsia" w:hAnsiTheme="minorEastAsia" w:eastAsiaTheme="minorEastAsia"/>
          <w:szCs w:val="24"/>
          <w:highlight w:val="none"/>
          <w:u w:val="single"/>
        </w:rPr>
        <w:t xml:space="preserve">                     </w:t>
      </w:r>
    </w:p>
    <w:p w14:paraId="2C3480D6">
      <w:pPr>
        <w:spacing w:line="360" w:lineRule="auto"/>
        <w:ind w:firstLine="787" w:firstLineChars="328"/>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传真：</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 xml:space="preserve">             传真：</w:t>
      </w:r>
      <w:r>
        <w:rPr>
          <w:rFonts w:hint="eastAsia" w:asciiTheme="minorEastAsia" w:hAnsiTheme="minorEastAsia" w:eastAsiaTheme="minorEastAsia"/>
          <w:szCs w:val="24"/>
          <w:highlight w:val="none"/>
          <w:u w:val="single"/>
        </w:rPr>
        <w:t xml:space="preserve">                     </w:t>
      </w:r>
    </w:p>
    <w:p w14:paraId="10AD3F25">
      <w:pPr>
        <w:spacing w:line="360" w:lineRule="auto"/>
        <w:rPr>
          <w:rFonts w:asciiTheme="minorEastAsia" w:hAnsiTheme="minorEastAsia" w:eastAsiaTheme="minorEastAsia"/>
          <w:szCs w:val="24"/>
          <w:highlight w:val="none"/>
        </w:rPr>
      </w:pPr>
    </w:p>
    <w:p w14:paraId="4C5F5C5B">
      <w:pPr>
        <w:spacing w:line="360" w:lineRule="auto"/>
        <w:jc w:val="center"/>
        <w:rPr>
          <w:rFonts w:asciiTheme="minorEastAsia" w:hAnsiTheme="minorEastAsia" w:eastAsiaTheme="minorEastAsia"/>
          <w:b/>
          <w:szCs w:val="24"/>
          <w:highlight w:val="none"/>
        </w:rPr>
      </w:pPr>
      <w:r>
        <w:rPr>
          <w:rFonts w:hint="eastAsia" w:asciiTheme="minorEastAsia" w:hAnsiTheme="minorEastAsia" w:eastAsiaTheme="minorEastAsia"/>
          <w:b/>
          <w:szCs w:val="24"/>
          <w:highlight w:val="none"/>
        </w:rPr>
        <w:t>投标联系人确认书</w:t>
      </w:r>
    </w:p>
    <w:p w14:paraId="51DD0D86">
      <w:pPr>
        <w:spacing w:line="360" w:lineRule="auto"/>
        <w:rPr>
          <w:rFonts w:asciiTheme="minorEastAsia" w:hAnsiTheme="minorEastAsia" w:eastAsiaTheme="minorEastAsia"/>
          <w:b/>
          <w:szCs w:val="24"/>
          <w:highlight w:val="none"/>
        </w:rPr>
      </w:pPr>
    </w:p>
    <w:p w14:paraId="2DD78044">
      <w:pPr>
        <w:spacing w:line="360" w:lineRule="auto"/>
        <w:ind w:firstLine="480" w:firstLineChars="200"/>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兹声明我方将按招标文件</w:t>
      </w:r>
      <w:r>
        <w:rPr>
          <w:rFonts w:asciiTheme="minorEastAsia" w:hAnsiTheme="minorEastAsia" w:eastAsiaTheme="minorEastAsia"/>
          <w:szCs w:val="24"/>
          <w:highlight w:val="none"/>
        </w:rPr>
        <w:t>(</w:t>
      </w:r>
      <w:r>
        <w:rPr>
          <w:rFonts w:hint="eastAsia" w:asciiTheme="minorEastAsia" w:hAnsiTheme="minorEastAsia" w:eastAsiaTheme="minorEastAsia"/>
          <w:szCs w:val="24"/>
          <w:highlight w:val="none"/>
        </w:rPr>
        <w:t>招标编号：ITB-LK-TZSWZ-CG-ZB-07</w:t>
      </w:r>
      <w:r>
        <w:rPr>
          <w:rFonts w:hint="eastAsia" w:asciiTheme="minorEastAsia" w:hAnsiTheme="minorEastAsia" w:eastAsiaTheme="minorEastAsia"/>
          <w:szCs w:val="24"/>
          <w:highlight w:val="none"/>
          <w:lang w:val="en-US" w:eastAsia="zh-CN"/>
        </w:rPr>
        <w:t>5</w:t>
      </w:r>
      <w:r>
        <w:rPr>
          <w:rFonts w:hint="eastAsia" w:asciiTheme="minorEastAsia" w:hAnsiTheme="minorEastAsia" w:eastAsiaTheme="minorEastAsia"/>
          <w:szCs w:val="24"/>
          <w:highlight w:val="none"/>
        </w:rPr>
        <w:t>)的要求编制投标文件，并按规定的日期和时间提交我们的投标文件。同时，我方指定</w:t>
      </w:r>
      <w:r>
        <w:rPr>
          <w:rFonts w:hint="eastAsia" w:asciiTheme="minorEastAsia" w:hAnsiTheme="minorEastAsia" w:eastAsiaTheme="minorEastAsia"/>
          <w:szCs w:val="24"/>
          <w:highlight w:val="none"/>
          <w:u w:val="single"/>
        </w:rPr>
        <w:t xml:space="preserve">                     </w:t>
      </w:r>
      <w:r>
        <w:rPr>
          <w:rFonts w:hint="eastAsia" w:asciiTheme="minorEastAsia" w:hAnsiTheme="minorEastAsia" w:eastAsiaTheme="minorEastAsia"/>
          <w:szCs w:val="24"/>
          <w:highlight w:val="none"/>
        </w:rPr>
        <w:t>（先生/女士）为本次投标过程的委</w:t>
      </w:r>
      <w:r>
        <w:rPr>
          <w:rFonts w:asciiTheme="minorEastAsia" w:hAnsiTheme="minorEastAsia" w:eastAsiaTheme="minorEastAsia"/>
          <w:szCs w:val="24"/>
          <w:highlight w:val="none"/>
        </w:rPr>
        <w:t>托代理人</w:t>
      </w:r>
      <w:r>
        <w:rPr>
          <w:rFonts w:hint="eastAsia" w:asciiTheme="minorEastAsia" w:hAnsiTheme="minorEastAsia" w:eastAsiaTheme="minorEastAsia"/>
          <w:szCs w:val="24"/>
          <w:highlight w:val="none"/>
        </w:rPr>
        <w:t>。具体情况如下：</w:t>
      </w:r>
    </w:p>
    <w:p w14:paraId="1F7026EB">
      <w:pPr>
        <w:spacing w:line="360" w:lineRule="auto"/>
        <w:ind w:firstLine="480" w:firstLineChars="200"/>
        <w:jc w:val="left"/>
        <w:rPr>
          <w:rFonts w:cs="宋体" w:asciiTheme="minorEastAsia" w:hAnsiTheme="minorEastAsia" w:eastAsiaTheme="minorEastAsia"/>
          <w:bCs/>
          <w:kern w:val="0"/>
          <w:szCs w:val="24"/>
          <w:highlight w:val="none"/>
        </w:rPr>
      </w:pPr>
      <w:r>
        <w:rPr>
          <w:rFonts w:hint="eastAsia" w:cs="宋体" w:asciiTheme="minorEastAsia" w:hAnsiTheme="minorEastAsia" w:eastAsiaTheme="minorEastAsia"/>
          <w:bCs/>
          <w:kern w:val="0"/>
          <w:szCs w:val="24"/>
          <w:highlight w:val="none"/>
        </w:rPr>
        <w:t>本</w:t>
      </w:r>
      <w:r>
        <w:rPr>
          <w:rFonts w:cs="宋体" w:asciiTheme="minorEastAsia" w:hAnsiTheme="minorEastAsia" w:eastAsiaTheme="minorEastAsia"/>
          <w:bCs/>
          <w:kern w:val="0"/>
          <w:szCs w:val="24"/>
          <w:highlight w:val="none"/>
        </w:rPr>
        <w:t>人</w:t>
      </w:r>
      <w:r>
        <w:rPr>
          <w:rFonts w:hint="eastAsia" w:cs="宋体" w:asciiTheme="minorEastAsia" w:hAnsiTheme="minorEastAsia" w:eastAsiaTheme="minorEastAsia"/>
          <w:bCs/>
          <w:kern w:val="0"/>
          <w:szCs w:val="24"/>
          <w:highlight w:val="none"/>
          <w:u w:val="single"/>
        </w:rPr>
        <w:t xml:space="preserve">     </w:t>
      </w:r>
      <w:r>
        <w:rPr>
          <w:rFonts w:cs="宋体" w:asciiTheme="minorEastAsia" w:hAnsiTheme="minorEastAsia" w:eastAsiaTheme="minorEastAsia"/>
          <w:bCs/>
          <w:kern w:val="0"/>
          <w:szCs w:val="24"/>
          <w:highlight w:val="none"/>
          <w:u w:val="single"/>
        </w:rPr>
        <w:t xml:space="preserve">     </w:t>
      </w:r>
      <w:r>
        <w:rPr>
          <w:rFonts w:hint="eastAsia" w:cs="宋体" w:asciiTheme="minorEastAsia" w:hAnsiTheme="minorEastAsia" w:eastAsiaTheme="minorEastAsia"/>
          <w:bCs/>
          <w:kern w:val="0"/>
          <w:szCs w:val="24"/>
          <w:highlight w:val="none"/>
        </w:rPr>
        <w:t>（姓</w:t>
      </w:r>
      <w:r>
        <w:rPr>
          <w:rFonts w:cs="宋体" w:asciiTheme="minorEastAsia" w:hAnsiTheme="minorEastAsia" w:eastAsiaTheme="minorEastAsia"/>
          <w:bCs/>
          <w:kern w:val="0"/>
          <w:szCs w:val="24"/>
          <w:highlight w:val="none"/>
        </w:rPr>
        <w:t>名）系</w:t>
      </w:r>
      <w:r>
        <w:rPr>
          <w:rFonts w:hint="eastAsia" w:cs="宋体" w:asciiTheme="minorEastAsia" w:hAnsiTheme="minorEastAsia" w:eastAsiaTheme="minorEastAsia"/>
          <w:bCs/>
          <w:kern w:val="0"/>
          <w:szCs w:val="24"/>
          <w:highlight w:val="none"/>
        </w:rPr>
        <w:t xml:space="preserve"> </w:t>
      </w:r>
      <w:r>
        <w:rPr>
          <w:rFonts w:hint="eastAsia" w:cs="宋体" w:asciiTheme="minorEastAsia" w:hAnsiTheme="minorEastAsia" w:eastAsiaTheme="minorEastAsia"/>
          <w:bCs/>
          <w:kern w:val="0"/>
          <w:szCs w:val="24"/>
          <w:highlight w:val="none"/>
          <w:u w:val="single"/>
        </w:rPr>
        <w:t xml:space="preserve">                  </w:t>
      </w:r>
      <w:r>
        <w:rPr>
          <w:rFonts w:hint="eastAsia" w:cs="宋体" w:asciiTheme="minorEastAsia" w:hAnsiTheme="minorEastAsia" w:eastAsiaTheme="minorEastAsia"/>
          <w:bCs/>
          <w:kern w:val="0"/>
          <w:szCs w:val="24"/>
          <w:highlight w:val="none"/>
        </w:rPr>
        <w:t>公</w:t>
      </w:r>
      <w:r>
        <w:rPr>
          <w:rFonts w:cs="宋体" w:asciiTheme="minorEastAsia" w:hAnsiTheme="minorEastAsia" w:eastAsiaTheme="minorEastAsia"/>
          <w:bCs/>
          <w:kern w:val="0"/>
          <w:szCs w:val="24"/>
          <w:highlight w:val="none"/>
        </w:rPr>
        <w:t>司的法定代表人，现委托本单</w:t>
      </w:r>
      <w:r>
        <w:rPr>
          <w:rFonts w:hint="eastAsia" w:cs="宋体" w:asciiTheme="minorEastAsia" w:hAnsiTheme="minorEastAsia" w:eastAsiaTheme="minorEastAsia"/>
          <w:bCs/>
          <w:kern w:val="0"/>
          <w:szCs w:val="24"/>
          <w:highlight w:val="none"/>
        </w:rPr>
        <w:t>位</w:t>
      </w:r>
      <w:r>
        <w:rPr>
          <w:rFonts w:cs="宋体" w:asciiTheme="minorEastAsia" w:hAnsiTheme="minorEastAsia" w:eastAsiaTheme="minorEastAsia"/>
          <w:bCs/>
          <w:kern w:val="0"/>
          <w:szCs w:val="24"/>
          <w:highlight w:val="none"/>
        </w:rPr>
        <w:t>人员</w:t>
      </w:r>
      <w:r>
        <w:rPr>
          <w:rFonts w:hint="eastAsia" w:cs="宋体" w:asciiTheme="minorEastAsia" w:hAnsiTheme="minorEastAsia" w:eastAsiaTheme="minorEastAsia"/>
          <w:bCs/>
          <w:kern w:val="0"/>
          <w:szCs w:val="24"/>
          <w:highlight w:val="none"/>
          <w:u w:val="single"/>
        </w:rPr>
        <w:t>（</w:t>
      </w:r>
      <w:r>
        <w:rPr>
          <w:rFonts w:cs="宋体" w:asciiTheme="minorEastAsia" w:hAnsiTheme="minorEastAsia" w:eastAsiaTheme="minorEastAsia"/>
          <w:bCs/>
          <w:kern w:val="0"/>
          <w:szCs w:val="24"/>
          <w:highlight w:val="none"/>
          <w:u w:val="single"/>
        </w:rPr>
        <w:t>姓名）</w:t>
      </w:r>
      <w:r>
        <w:rPr>
          <w:rFonts w:hint="eastAsia" w:cs="宋体" w:asciiTheme="minorEastAsia" w:hAnsiTheme="minorEastAsia" w:eastAsiaTheme="minorEastAsia"/>
          <w:bCs/>
          <w:kern w:val="0"/>
          <w:szCs w:val="24"/>
          <w:highlight w:val="none"/>
          <w:u w:val="single"/>
        </w:rPr>
        <w:t>，身</w:t>
      </w:r>
      <w:r>
        <w:rPr>
          <w:rFonts w:cs="宋体" w:asciiTheme="minorEastAsia" w:hAnsiTheme="minorEastAsia" w:eastAsiaTheme="minorEastAsia"/>
          <w:bCs/>
          <w:kern w:val="0"/>
          <w:szCs w:val="24"/>
          <w:highlight w:val="none"/>
          <w:u w:val="single"/>
        </w:rPr>
        <w:t>份证号码：</w:t>
      </w:r>
      <w:r>
        <w:rPr>
          <w:rFonts w:hint="eastAsia" w:cs="宋体" w:asciiTheme="minorEastAsia" w:hAnsiTheme="minorEastAsia" w:eastAsiaTheme="minorEastAsia"/>
          <w:bCs/>
          <w:kern w:val="0"/>
          <w:szCs w:val="24"/>
          <w:highlight w:val="none"/>
          <w:u w:val="single"/>
        </w:rPr>
        <w:t xml:space="preserve">   </w:t>
      </w:r>
      <w:r>
        <w:rPr>
          <w:rFonts w:cs="宋体" w:asciiTheme="minorEastAsia" w:hAnsiTheme="minorEastAsia" w:eastAsiaTheme="minorEastAsia"/>
          <w:bCs/>
          <w:kern w:val="0"/>
          <w:szCs w:val="24"/>
          <w:highlight w:val="none"/>
          <w:u w:val="single"/>
        </w:rPr>
        <w:t xml:space="preserve">   </w:t>
      </w:r>
      <w:r>
        <w:rPr>
          <w:rFonts w:hint="eastAsia" w:cs="宋体" w:asciiTheme="minorEastAsia" w:hAnsiTheme="minorEastAsia" w:eastAsiaTheme="minorEastAsia"/>
          <w:bCs/>
          <w:kern w:val="0"/>
          <w:szCs w:val="24"/>
          <w:highlight w:val="none"/>
          <w:u w:val="single"/>
        </w:rPr>
        <w:t xml:space="preserve"> 手</w:t>
      </w:r>
      <w:r>
        <w:rPr>
          <w:rFonts w:cs="宋体" w:asciiTheme="minorEastAsia" w:hAnsiTheme="minorEastAsia" w:eastAsiaTheme="minorEastAsia"/>
          <w:bCs/>
          <w:kern w:val="0"/>
          <w:szCs w:val="24"/>
          <w:highlight w:val="none"/>
          <w:u w:val="single"/>
        </w:rPr>
        <w:t>机号码</w:t>
      </w:r>
      <w:r>
        <w:rPr>
          <w:rFonts w:hint="eastAsia" w:cs="宋体" w:asciiTheme="minorEastAsia" w:hAnsiTheme="minorEastAsia" w:eastAsiaTheme="minorEastAsia"/>
          <w:bCs/>
          <w:kern w:val="0"/>
          <w:szCs w:val="24"/>
          <w:highlight w:val="none"/>
          <w:u w:val="single"/>
        </w:rPr>
        <w:t xml:space="preserve">：                </w:t>
      </w:r>
      <w:r>
        <w:rPr>
          <w:rFonts w:cs="宋体" w:asciiTheme="minorEastAsia" w:hAnsiTheme="minorEastAsia" w:eastAsiaTheme="minorEastAsia"/>
          <w:bCs/>
          <w:kern w:val="0"/>
          <w:szCs w:val="24"/>
          <w:highlight w:val="none"/>
          <w:u w:val="single"/>
        </w:rPr>
        <w:t xml:space="preserve">   </w:t>
      </w:r>
      <w:r>
        <w:rPr>
          <w:rFonts w:hint="eastAsia" w:cs="宋体" w:asciiTheme="minorEastAsia" w:hAnsiTheme="minorEastAsia" w:eastAsiaTheme="minorEastAsia"/>
          <w:bCs/>
          <w:kern w:val="0"/>
          <w:szCs w:val="24"/>
          <w:highlight w:val="none"/>
          <w:u w:val="single"/>
        </w:rPr>
        <w:t xml:space="preserve">  </w:t>
      </w:r>
      <w:r>
        <w:rPr>
          <w:rFonts w:hint="eastAsia" w:cs="宋体" w:asciiTheme="minorEastAsia" w:hAnsiTheme="minorEastAsia" w:eastAsiaTheme="minorEastAsia"/>
          <w:bCs/>
          <w:kern w:val="0"/>
          <w:szCs w:val="24"/>
          <w:highlight w:val="none"/>
        </w:rPr>
        <w:t xml:space="preserve">   </w:t>
      </w:r>
      <w:r>
        <w:rPr>
          <w:rFonts w:cs="宋体" w:asciiTheme="minorEastAsia" w:hAnsiTheme="minorEastAsia" w:eastAsiaTheme="minorEastAsia"/>
          <w:bCs/>
          <w:kern w:val="0"/>
          <w:szCs w:val="24"/>
          <w:highlight w:val="none"/>
        </w:rPr>
        <w:t>为我方代理人。代</w:t>
      </w:r>
      <w:r>
        <w:rPr>
          <w:rFonts w:hint="eastAsia" w:cs="宋体" w:asciiTheme="minorEastAsia" w:hAnsiTheme="minorEastAsia" w:eastAsiaTheme="minorEastAsia"/>
          <w:bCs/>
          <w:kern w:val="0"/>
          <w:szCs w:val="24"/>
          <w:highlight w:val="none"/>
        </w:rPr>
        <w:t>理人</w:t>
      </w:r>
      <w:r>
        <w:rPr>
          <w:rFonts w:cs="宋体" w:asciiTheme="minorEastAsia" w:hAnsiTheme="minorEastAsia" w:eastAsiaTheme="minorEastAsia"/>
          <w:bCs/>
          <w:kern w:val="0"/>
          <w:szCs w:val="24"/>
          <w:highlight w:val="none"/>
        </w:rPr>
        <w:t>根据授</w:t>
      </w:r>
      <w:r>
        <w:rPr>
          <w:rFonts w:hint="eastAsia" w:cs="宋体" w:asciiTheme="minorEastAsia" w:hAnsiTheme="minorEastAsia" w:eastAsiaTheme="minorEastAsia"/>
          <w:bCs/>
          <w:kern w:val="0"/>
          <w:szCs w:val="24"/>
          <w:highlight w:val="none"/>
        </w:rPr>
        <w:t>权</w:t>
      </w:r>
      <w:r>
        <w:rPr>
          <w:rFonts w:cs="宋体" w:asciiTheme="minorEastAsia" w:hAnsiTheme="minorEastAsia" w:eastAsiaTheme="minorEastAsia"/>
          <w:bCs/>
          <w:kern w:val="0"/>
          <w:szCs w:val="24"/>
          <w:highlight w:val="none"/>
        </w:rPr>
        <w:t>，</w:t>
      </w:r>
      <w:r>
        <w:rPr>
          <w:rFonts w:hint="eastAsia" w:cs="宋体" w:asciiTheme="minorEastAsia" w:hAnsiTheme="minorEastAsia" w:eastAsiaTheme="minorEastAsia"/>
          <w:bCs/>
          <w:kern w:val="0"/>
          <w:szCs w:val="24"/>
          <w:highlight w:val="none"/>
        </w:rPr>
        <w:t>以</w:t>
      </w:r>
      <w:r>
        <w:rPr>
          <w:rFonts w:cs="宋体" w:asciiTheme="minorEastAsia" w:hAnsiTheme="minorEastAsia" w:eastAsiaTheme="minorEastAsia"/>
          <w:bCs/>
          <w:kern w:val="0"/>
          <w:szCs w:val="24"/>
          <w:highlight w:val="none"/>
        </w:rPr>
        <w:t>我方名</w:t>
      </w:r>
      <w:r>
        <w:rPr>
          <w:rFonts w:hint="eastAsia" w:cs="宋体" w:asciiTheme="minorEastAsia" w:hAnsiTheme="minorEastAsia" w:eastAsiaTheme="minorEastAsia"/>
          <w:bCs/>
          <w:kern w:val="0"/>
          <w:szCs w:val="24"/>
          <w:highlight w:val="none"/>
        </w:rPr>
        <w:t>义参与</w:t>
      </w:r>
      <w:r>
        <w:rPr>
          <w:rFonts w:cs="宋体" w:asciiTheme="minorEastAsia" w:hAnsiTheme="minorEastAsia" w:eastAsiaTheme="minorEastAsia"/>
          <w:bCs/>
          <w:kern w:val="0"/>
          <w:szCs w:val="24"/>
          <w:highlight w:val="none"/>
        </w:rPr>
        <w:t>贵司</w:t>
      </w:r>
      <w:r>
        <w:rPr>
          <w:rFonts w:hint="eastAsia" w:asciiTheme="minorEastAsia" w:hAnsiTheme="minorEastAsia" w:eastAsiaTheme="minorEastAsia"/>
          <w:szCs w:val="24"/>
          <w:highlight w:val="none"/>
          <w:u w:val="single"/>
          <w:lang w:val="en-US" w:eastAsia="zh-CN"/>
        </w:rPr>
        <w:t>北京通州生物质资源化项目</w:t>
      </w:r>
      <w:r>
        <w:rPr>
          <w:rFonts w:hint="eastAsia" w:cs="宋体" w:asciiTheme="minorEastAsia" w:hAnsiTheme="minorEastAsia" w:eastAsiaTheme="minorEastAsia"/>
          <w:bCs/>
          <w:kern w:val="0"/>
          <w:szCs w:val="24"/>
          <w:highlight w:val="none"/>
        </w:rPr>
        <w:t>的投</w:t>
      </w:r>
      <w:r>
        <w:rPr>
          <w:rFonts w:cs="宋体" w:asciiTheme="minorEastAsia" w:hAnsiTheme="minorEastAsia" w:eastAsiaTheme="minorEastAsia"/>
          <w:bCs/>
          <w:kern w:val="0"/>
          <w:szCs w:val="24"/>
          <w:highlight w:val="none"/>
        </w:rPr>
        <w:t>标</w:t>
      </w:r>
      <w:r>
        <w:rPr>
          <w:rFonts w:hint="eastAsia" w:cs="宋体" w:asciiTheme="minorEastAsia" w:hAnsiTheme="minorEastAsia" w:eastAsiaTheme="minorEastAsia"/>
          <w:bCs/>
          <w:kern w:val="0"/>
          <w:szCs w:val="24"/>
          <w:highlight w:val="none"/>
        </w:rPr>
        <w:t>工</w:t>
      </w:r>
      <w:r>
        <w:rPr>
          <w:rFonts w:cs="宋体" w:asciiTheme="minorEastAsia" w:hAnsiTheme="minorEastAsia" w:eastAsiaTheme="minorEastAsia"/>
          <w:bCs/>
          <w:kern w:val="0"/>
          <w:szCs w:val="24"/>
          <w:highlight w:val="none"/>
        </w:rPr>
        <w:t>作及处理有关</w:t>
      </w:r>
      <w:r>
        <w:rPr>
          <w:rFonts w:hint="eastAsia" w:cs="宋体" w:asciiTheme="minorEastAsia" w:hAnsiTheme="minorEastAsia" w:eastAsiaTheme="minorEastAsia"/>
          <w:bCs/>
          <w:kern w:val="0"/>
          <w:szCs w:val="24"/>
          <w:highlight w:val="none"/>
        </w:rPr>
        <w:t>商务</w:t>
      </w:r>
      <w:r>
        <w:rPr>
          <w:rFonts w:cs="宋体" w:asciiTheme="minorEastAsia" w:hAnsiTheme="minorEastAsia" w:eastAsiaTheme="minorEastAsia"/>
          <w:bCs/>
          <w:kern w:val="0"/>
          <w:szCs w:val="24"/>
          <w:highlight w:val="none"/>
        </w:rPr>
        <w:t>报价事宜</w:t>
      </w:r>
      <w:r>
        <w:rPr>
          <w:rFonts w:hint="eastAsia" w:cs="宋体" w:asciiTheme="minorEastAsia" w:hAnsiTheme="minorEastAsia" w:eastAsiaTheme="minorEastAsia"/>
          <w:bCs/>
          <w:kern w:val="0"/>
          <w:szCs w:val="24"/>
          <w:highlight w:val="none"/>
        </w:rPr>
        <w:t>。我</w:t>
      </w:r>
      <w:r>
        <w:rPr>
          <w:rFonts w:cs="宋体" w:asciiTheme="minorEastAsia" w:hAnsiTheme="minorEastAsia" w:eastAsiaTheme="minorEastAsia"/>
          <w:bCs/>
          <w:kern w:val="0"/>
          <w:szCs w:val="24"/>
          <w:highlight w:val="none"/>
        </w:rPr>
        <w:t>司接受电子档</w:t>
      </w:r>
      <w:r>
        <w:rPr>
          <w:rFonts w:hint="eastAsia" w:cs="宋体" w:asciiTheme="minorEastAsia" w:hAnsiTheme="minorEastAsia" w:eastAsiaTheme="minorEastAsia"/>
          <w:bCs/>
          <w:kern w:val="0"/>
          <w:szCs w:val="24"/>
          <w:highlight w:val="none"/>
        </w:rPr>
        <w:t>招</w:t>
      </w:r>
      <w:r>
        <w:rPr>
          <w:rFonts w:cs="宋体" w:asciiTheme="minorEastAsia" w:hAnsiTheme="minorEastAsia" w:eastAsiaTheme="minorEastAsia"/>
          <w:bCs/>
          <w:kern w:val="0"/>
          <w:szCs w:val="24"/>
          <w:highlight w:val="none"/>
        </w:rPr>
        <w:t>标文件，请将相关</w:t>
      </w:r>
      <w:r>
        <w:rPr>
          <w:rFonts w:hint="eastAsia" w:cs="宋体" w:asciiTheme="minorEastAsia" w:hAnsiTheme="minorEastAsia" w:eastAsiaTheme="minorEastAsia"/>
          <w:bCs/>
          <w:kern w:val="0"/>
          <w:szCs w:val="24"/>
          <w:highlight w:val="none"/>
        </w:rPr>
        <w:t>招</w:t>
      </w:r>
      <w:r>
        <w:rPr>
          <w:rFonts w:cs="宋体" w:asciiTheme="minorEastAsia" w:hAnsiTheme="minorEastAsia" w:eastAsiaTheme="minorEastAsia"/>
          <w:bCs/>
          <w:kern w:val="0"/>
          <w:szCs w:val="24"/>
          <w:highlight w:val="none"/>
        </w:rPr>
        <w:t>标资料发</w:t>
      </w:r>
      <w:r>
        <w:rPr>
          <w:rFonts w:hint="eastAsia" w:cs="宋体" w:asciiTheme="minorEastAsia" w:hAnsiTheme="minorEastAsia" w:eastAsiaTheme="minorEastAsia"/>
          <w:bCs/>
          <w:kern w:val="0"/>
          <w:szCs w:val="24"/>
          <w:highlight w:val="none"/>
        </w:rPr>
        <w:t>送至</w:t>
      </w:r>
    </w:p>
    <w:p w14:paraId="1A8862EF">
      <w:pPr>
        <w:spacing w:line="360" w:lineRule="auto"/>
        <w:ind w:firstLine="480" w:firstLineChars="200"/>
        <w:jc w:val="left"/>
        <w:rPr>
          <w:rFonts w:cs="宋体" w:asciiTheme="minorEastAsia" w:hAnsiTheme="minorEastAsia" w:eastAsiaTheme="minorEastAsia"/>
          <w:bCs/>
          <w:kern w:val="0"/>
          <w:szCs w:val="24"/>
          <w:highlight w:val="none"/>
        </w:rPr>
      </w:pPr>
      <w:r>
        <w:rPr>
          <w:rFonts w:cs="宋体" w:asciiTheme="minorEastAsia" w:hAnsiTheme="minorEastAsia" w:eastAsiaTheme="minorEastAsia"/>
          <w:bCs/>
          <w:kern w:val="0"/>
          <w:szCs w:val="24"/>
          <w:highlight w:val="none"/>
        </w:rPr>
        <w:t>邮箱地址</w:t>
      </w:r>
      <w:r>
        <w:rPr>
          <w:rFonts w:hint="eastAsia" w:cs="宋体" w:asciiTheme="minorEastAsia" w:hAnsiTheme="minorEastAsia" w:eastAsiaTheme="minorEastAsia"/>
          <w:bCs/>
          <w:kern w:val="0"/>
          <w:szCs w:val="24"/>
          <w:highlight w:val="none"/>
        </w:rPr>
        <w:t>：</w:t>
      </w:r>
      <w:r>
        <w:rPr>
          <w:rFonts w:hint="eastAsia" w:cs="宋体" w:asciiTheme="minorEastAsia" w:hAnsiTheme="minorEastAsia" w:eastAsiaTheme="minorEastAsia"/>
          <w:bCs/>
          <w:kern w:val="0"/>
          <w:szCs w:val="24"/>
          <w:highlight w:val="none"/>
          <w:u w:val="single"/>
        </w:rPr>
        <w:t xml:space="preserve"> </w:t>
      </w:r>
      <w:r>
        <w:rPr>
          <w:rFonts w:cs="宋体" w:asciiTheme="minorEastAsia" w:hAnsiTheme="minorEastAsia" w:eastAsiaTheme="minorEastAsia"/>
          <w:bCs/>
          <w:kern w:val="0"/>
          <w:szCs w:val="24"/>
          <w:highlight w:val="none"/>
          <w:u w:val="single"/>
        </w:rPr>
        <w:t xml:space="preserve">                     </w:t>
      </w:r>
    </w:p>
    <w:p w14:paraId="457F43E4">
      <w:pPr>
        <w:spacing w:line="360" w:lineRule="auto"/>
        <w:ind w:firstLine="480" w:firstLineChars="200"/>
        <w:jc w:val="left"/>
        <w:rPr>
          <w:rFonts w:cs="宋体" w:asciiTheme="minorEastAsia" w:hAnsiTheme="minorEastAsia" w:eastAsiaTheme="minorEastAsia"/>
          <w:bCs/>
          <w:kern w:val="0"/>
          <w:szCs w:val="24"/>
          <w:highlight w:val="none"/>
        </w:rPr>
      </w:pPr>
      <w:r>
        <w:rPr>
          <w:rFonts w:hint="eastAsia" w:cs="宋体" w:asciiTheme="minorEastAsia" w:hAnsiTheme="minorEastAsia" w:eastAsiaTheme="minorEastAsia"/>
          <w:bCs/>
          <w:kern w:val="0"/>
          <w:szCs w:val="24"/>
          <w:highlight w:val="none"/>
        </w:rPr>
        <w:t>代</w:t>
      </w:r>
      <w:r>
        <w:rPr>
          <w:rFonts w:cs="宋体" w:asciiTheme="minorEastAsia" w:hAnsiTheme="minorEastAsia" w:eastAsiaTheme="minorEastAsia"/>
          <w:bCs/>
          <w:kern w:val="0"/>
          <w:szCs w:val="24"/>
          <w:highlight w:val="none"/>
        </w:rPr>
        <w:t>理人无转委托权。</w:t>
      </w:r>
    </w:p>
    <w:p w14:paraId="13F19382">
      <w:pPr>
        <w:spacing w:line="360" w:lineRule="auto"/>
        <w:ind w:firstLine="480" w:firstLineChars="200"/>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公司名称：</w:t>
      </w:r>
      <w:r>
        <w:rPr>
          <w:rFonts w:hint="eastAsia" w:asciiTheme="minorEastAsia" w:hAnsiTheme="minorEastAsia" w:eastAsiaTheme="minorEastAsia"/>
          <w:szCs w:val="24"/>
          <w:highlight w:val="none"/>
          <w:u w:val="single"/>
        </w:rPr>
        <w:t xml:space="preserve">                         </w:t>
      </w:r>
    </w:p>
    <w:p w14:paraId="206AA639">
      <w:pPr>
        <w:spacing w:line="360" w:lineRule="auto"/>
        <w:ind w:firstLine="480" w:firstLineChars="200"/>
        <w:jc w:val="left"/>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商</w:t>
      </w:r>
      <w:r>
        <w:rPr>
          <w:rFonts w:asciiTheme="minorEastAsia" w:hAnsiTheme="minorEastAsia" w:eastAsiaTheme="minorEastAsia"/>
          <w:szCs w:val="24"/>
          <w:highlight w:val="none"/>
        </w:rPr>
        <w:t>务</w:t>
      </w:r>
      <w:r>
        <w:rPr>
          <w:rFonts w:hint="eastAsia" w:asciiTheme="minorEastAsia" w:hAnsiTheme="minorEastAsia" w:eastAsiaTheme="minorEastAsia"/>
          <w:szCs w:val="24"/>
          <w:highlight w:val="none"/>
        </w:rPr>
        <w:t>联系人：</w:t>
      </w:r>
      <w:r>
        <w:rPr>
          <w:rFonts w:hint="eastAsia" w:asciiTheme="minorEastAsia" w:hAnsiTheme="minorEastAsia" w:eastAsiaTheme="minorEastAsia"/>
          <w:szCs w:val="24"/>
          <w:highlight w:val="none"/>
          <w:u w:val="single"/>
        </w:rPr>
        <w:t xml:space="preserve">                           </w:t>
      </w:r>
    </w:p>
    <w:p w14:paraId="78873812">
      <w:pPr>
        <w:spacing w:line="360" w:lineRule="auto"/>
        <w:ind w:firstLine="480" w:firstLineChars="200"/>
        <w:jc w:val="left"/>
        <w:rPr>
          <w:rFonts w:asciiTheme="minorEastAsia" w:hAnsiTheme="minorEastAsia" w:eastAsiaTheme="minorEastAsia"/>
          <w:szCs w:val="24"/>
          <w:highlight w:val="none"/>
          <w:u w:val="single"/>
        </w:rPr>
      </w:pPr>
      <w:r>
        <w:rPr>
          <w:rFonts w:hint="eastAsia" w:asciiTheme="minorEastAsia" w:hAnsiTheme="minorEastAsia" w:eastAsiaTheme="minorEastAsia"/>
          <w:szCs w:val="24"/>
          <w:highlight w:val="none"/>
        </w:rPr>
        <w:t>技</w:t>
      </w:r>
      <w:r>
        <w:rPr>
          <w:rFonts w:asciiTheme="minorEastAsia" w:hAnsiTheme="minorEastAsia" w:eastAsiaTheme="minorEastAsia"/>
          <w:szCs w:val="24"/>
          <w:highlight w:val="none"/>
        </w:rPr>
        <w:t>术</w:t>
      </w:r>
      <w:r>
        <w:rPr>
          <w:rFonts w:hint="eastAsia" w:asciiTheme="minorEastAsia" w:hAnsiTheme="minorEastAsia" w:eastAsiaTheme="minorEastAsia"/>
          <w:szCs w:val="24"/>
          <w:highlight w:val="none"/>
        </w:rPr>
        <w:t>联系人：</w:t>
      </w:r>
      <w:r>
        <w:rPr>
          <w:rFonts w:hint="eastAsia" w:asciiTheme="minorEastAsia" w:hAnsiTheme="minorEastAsia" w:eastAsiaTheme="minorEastAsia"/>
          <w:szCs w:val="24"/>
          <w:highlight w:val="none"/>
          <w:u w:val="single"/>
        </w:rPr>
        <w:t xml:space="preserve">                           </w:t>
      </w:r>
    </w:p>
    <w:p w14:paraId="3E88BFBD">
      <w:pPr>
        <w:spacing w:line="360" w:lineRule="auto"/>
        <w:ind w:firstLine="480" w:firstLineChars="200"/>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联系电话：</w:t>
      </w:r>
      <w:r>
        <w:rPr>
          <w:rFonts w:hint="eastAsia" w:asciiTheme="minorEastAsia" w:hAnsiTheme="minorEastAsia" w:eastAsiaTheme="minorEastAsia"/>
          <w:szCs w:val="24"/>
          <w:highlight w:val="none"/>
          <w:u w:val="single"/>
        </w:rPr>
        <w:t xml:space="preserve">                         </w:t>
      </w:r>
    </w:p>
    <w:p w14:paraId="689F4EEE">
      <w:pPr>
        <w:spacing w:line="360" w:lineRule="auto"/>
        <w:ind w:firstLine="480" w:firstLineChars="200"/>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邮箱：</w:t>
      </w:r>
      <w:r>
        <w:rPr>
          <w:rFonts w:hint="eastAsia" w:asciiTheme="minorEastAsia" w:hAnsiTheme="minorEastAsia" w:eastAsiaTheme="minorEastAsia"/>
          <w:szCs w:val="24"/>
          <w:highlight w:val="none"/>
          <w:u w:val="single"/>
        </w:rPr>
        <w:t xml:space="preserve">                             </w:t>
      </w:r>
    </w:p>
    <w:p w14:paraId="37E2DA1D">
      <w:pPr>
        <w:spacing w:line="360" w:lineRule="auto"/>
        <w:jc w:val="right"/>
        <w:rPr>
          <w:rFonts w:asciiTheme="minorEastAsia" w:hAnsiTheme="minorEastAsia" w:eastAsiaTheme="minorEastAsia"/>
          <w:szCs w:val="24"/>
          <w:highlight w:val="none"/>
        </w:rPr>
      </w:pPr>
    </w:p>
    <w:p w14:paraId="61876361">
      <w:pPr>
        <w:spacing w:line="360" w:lineRule="auto"/>
        <w:ind w:right="480" w:firstLine="5400" w:firstLineChars="2250"/>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签章：</w:t>
      </w:r>
      <w:r>
        <w:rPr>
          <w:rFonts w:hint="eastAsia" w:asciiTheme="minorEastAsia" w:hAnsiTheme="minorEastAsia" w:eastAsiaTheme="minorEastAsia"/>
          <w:szCs w:val="24"/>
          <w:highlight w:val="none"/>
          <w:u w:val="single"/>
        </w:rPr>
        <w:t xml:space="preserve">               </w:t>
      </w:r>
    </w:p>
    <w:p w14:paraId="4191CC85">
      <w:pPr>
        <w:pStyle w:val="4"/>
        <w:spacing w:before="0" w:after="0"/>
        <w:ind w:right="480" w:firstLine="5400" w:firstLineChars="2250"/>
        <w:rPr>
          <w:rFonts w:hint="eastAsia" w:asciiTheme="minorEastAsia" w:hAnsiTheme="minorEastAsia" w:eastAsiaTheme="minorEastAsia"/>
          <w:bCs/>
          <w:szCs w:val="24"/>
          <w:highlight w:val="none"/>
          <w:u w:val="single"/>
        </w:rPr>
      </w:pPr>
      <w:r>
        <w:rPr>
          <w:rFonts w:hint="eastAsia" w:asciiTheme="minorEastAsia" w:hAnsiTheme="minorEastAsia" w:eastAsiaTheme="minorEastAsia"/>
          <w:bCs/>
          <w:szCs w:val="24"/>
          <w:highlight w:val="none"/>
        </w:rPr>
        <w:t>日期：</w:t>
      </w:r>
      <w:r>
        <w:rPr>
          <w:rFonts w:hint="eastAsia" w:asciiTheme="minorEastAsia" w:hAnsiTheme="minorEastAsia" w:eastAsiaTheme="minorEastAsia"/>
          <w:bCs/>
          <w:szCs w:val="24"/>
          <w:highlight w:val="none"/>
          <w:u w:val="single"/>
        </w:rPr>
        <w:t xml:space="preserve">               </w:t>
      </w:r>
    </w:p>
    <w:p w14:paraId="50069EBF">
      <w:pPr>
        <w:pStyle w:val="4"/>
        <w:spacing w:before="0" w:after="0"/>
        <w:ind w:right="480"/>
        <w:jc w:val="left"/>
        <w:rPr>
          <w:rFonts w:hint="eastAsia" w:asciiTheme="minorEastAsia" w:hAnsiTheme="minorEastAsia" w:eastAsiaTheme="minorEastAsia"/>
          <w:sz w:val="24"/>
          <w:szCs w:val="24"/>
          <w:highlight w:val="none"/>
        </w:rPr>
      </w:pPr>
    </w:p>
    <w:p w14:paraId="6E4E3974">
      <w:pPr>
        <w:pStyle w:val="4"/>
        <w:spacing w:before="0" w:after="0"/>
        <w:ind w:right="480"/>
        <w:jc w:val="left"/>
        <w:rPr>
          <w:rFonts w:hint="eastAsia" w:asciiTheme="minorEastAsia" w:hAnsiTheme="minorEastAsia" w:eastAsiaTheme="minorEastAsia"/>
          <w:b/>
          <w:bCs/>
          <w:sz w:val="24"/>
          <w:szCs w:val="24"/>
          <w:highlight w:val="none"/>
        </w:rPr>
      </w:pPr>
    </w:p>
    <w:p w14:paraId="00BF3D2D">
      <w:pPr>
        <w:pStyle w:val="4"/>
        <w:spacing w:before="0" w:after="0"/>
        <w:ind w:right="480"/>
        <w:jc w:val="left"/>
        <w:rPr>
          <w:rFonts w:hint="eastAsia"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附件 1-</w:t>
      </w:r>
      <w:r>
        <w:rPr>
          <w:rFonts w:hint="eastAsia" w:asciiTheme="minorEastAsia" w:hAnsiTheme="minorEastAsia" w:eastAsiaTheme="minorEastAsia"/>
          <w:b/>
          <w:bCs/>
          <w:sz w:val="24"/>
          <w:szCs w:val="24"/>
          <w:highlight w:val="none"/>
          <w:lang w:val="en-US" w:eastAsia="zh-CN"/>
        </w:rPr>
        <w:t>3</w:t>
      </w:r>
      <w:r>
        <w:rPr>
          <w:rFonts w:hint="eastAsia" w:asciiTheme="minorEastAsia" w:hAnsiTheme="minorEastAsia" w:eastAsiaTheme="minorEastAsia"/>
          <w:b/>
          <w:bCs/>
          <w:sz w:val="24"/>
          <w:szCs w:val="24"/>
          <w:highlight w:val="none"/>
        </w:rPr>
        <w:t>：</w:t>
      </w:r>
      <w:r>
        <w:rPr>
          <w:rFonts w:hint="eastAsia" w:asciiTheme="minorEastAsia" w:hAnsiTheme="minorEastAsia" w:eastAsiaTheme="minorEastAsia"/>
          <w:b/>
          <w:bCs/>
          <w:sz w:val="24"/>
          <w:szCs w:val="24"/>
          <w:highlight w:val="none"/>
          <w:lang w:val="en-US" w:eastAsia="zh-CN"/>
        </w:rPr>
        <w:t>需求清单</w:t>
      </w:r>
      <w:r>
        <w:rPr>
          <w:rFonts w:hint="eastAsia" w:asciiTheme="minorEastAsia" w:hAnsiTheme="minorEastAsia" w:eastAsiaTheme="minorEastAsia"/>
          <w:b/>
          <w:bCs/>
          <w:sz w:val="24"/>
          <w:szCs w:val="24"/>
          <w:highlight w:val="none"/>
        </w:rPr>
        <w:t>格式</w:t>
      </w:r>
    </w:p>
    <w:tbl>
      <w:tblPr>
        <w:tblStyle w:val="7"/>
        <w:tblW w:w="97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2"/>
        <w:gridCol w:w="950"/>
        <w:gridCol w:w="3487"/>
        <w:gridCol w:w="725"/>
        <w:gridCol w:w="725"/>
        <w:gridCol w:w="838"/>
        <w:gridCol w:w="1000"/>
        <w:gridCol w:w="1411"/>
      </w:tblGrid>
      <w:tr w14:paraId="71DAB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F9EF0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分类</w:t>
            </w:r>
          </w:p>
        </w:tc>
        <w:tc>
          <w:tcPr>
            <w:tcW w:w="9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BEB71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模块</w:t>
            </w:r>
          </w:p>
        </w:tc>
        <w:tc>
          <w:tcPr>
            <w:tcW w:w="348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EDDE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设计对象与需求描述</w:t>
            </w:r>
          </w:p>
        </w:tc>
        <w:tc>
          <w:tcPr>
            <w:tcW w:w="7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8E219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数量</w:t>
            </w:r>
          </w:p>
        </w:tc>
        <w:tc>
          <w:tcPr>
            <w:tcW w:w="72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82D91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单位</w:t>
            </w:r>
          </w:p>
        </w:tc>
        <w:tc>
          <w:tcPr>
            <w:tcW w:w="83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5922A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单价</w:t>
            </w:r>
          </w:p>
        </w:tc>
        <w:tc>
          <w:tcPr>
            <w:tcW w:w="10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B4BDE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小计</w:t>
            </w:r>
          </w:p>
        </w:tc>
        <w:tc>
          <w:tcPr>
            <w:tcW w:w="141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5101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期望效果</w:t>
            </w:r>
          </w:p>
        </w:tc>
      </w:tr>
      <w:tr w14:paraId="12E14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5" w:hRule="atLeast"/>
        </w:trPr>
        <w:tc>
          <w:tcPr>
            <w:tcW w:w="582" w:type="dxa"/>
            <w:vMerge w:val="restart"/>
            <w:tcBorders>
              <w:top w:val="nil"/>
              <w:left w:val="single" w:color="000000" w:sz="8" w:space="0"/>
              <w:bottom w:val="single" w:color="000000" w:sz="8" w:space="0"/>
              <w:right w:val="single" w:color="000000" w:sz="8" w:space="0"/>
            </w:tcBorders>
            <w:shd w:val="clear" w:color="auto" w:fill="auto"/>
            <w:vAlign w:val="center"/>
          </w:tcPr>
          <w:p w14:paraId="16D7A5F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一、基础设施与数据采集建设</w:t>
            </w:r>
          </w:p>
        </w:tc>
        <w:tc>
          <w:tcPr>
            <w:tcW w:w="950" w:type="dxa"/>
            <w:tcBorders>
              <w:top w:val="nil"/>
              <w:left w:val="single" w:color="000000" w:sz="8" w:space="0"/>
              <w:bottom w:val="single" w:color="000000" w:sz="8" w:space="0"/>
              <w:right w:val="single" w:color="000000" w:sz="8" w:space="0"/>
            </w:tcBorders>
            <w:shd w:val="clear" w:color="auto" w:fill="auto"/>
            <w:vAlign w:val="center"/>
          </w:tcPr>
          <w:p w14:paraId="54E45A94">
            <w:pPr>
              <w:keepNext w:val="0"/>
              <w:keepLines w:val="0"/>
              <w:widowControl/>
              <w:suppressLineNumbers w:val="0"/>
              <w:jc w:val="center"/>
              <w:textAlignment w:val="center"/>
              <w:rPr>
                <w:rFonts w:ascii="Calibri" w:hAnsi="Calibri" w:eastAsia="宋体" w:cs="Calibri"/>
                <w:i w:val="0"/>
                <w:iCs w:val="0"/>
                <w:color w:val="000000"/>
                <w:sz w:val="16"/>
                <w:szCs w:val="16"/>
                <w:highlight w:val="none"/>
                <w:u w:val="none"/>
              </w:rPr>
            </w:pPr>
            <w:r>
              <w:rPr>
                <w:rFonts w:hint="default" w:ascii="Calibri" w:hAnsi="Calibri" w:eastAsia="宋体" w:cs="Calibri"/>
                <w:i w:val="0"/>
                <w:iCs w:val="0"/>
                <w:color w:val="000000"/>
                <w:kern w:val="0"/>
                <w:sz w:val="16"/>
                <w:szCs w:val="16"/>
                <w:highlight w:val="none"/>
                <w:u w:val="none"/>
                <w:lang w:val="en-US" w:eastAsia="zh-CN" w:bidi="ar"/>
              </w:rPr>
              <w:t>PLC/DCS</w:t>
            </w:r>
            <w:r>
              <w:rPr>
                <w:rFonts w:hint="eastAsia" w:ascii="宋体" w:hAnsi="宋体" w:eastAsia="宋体" w:cs="宋体"/>
                <w:i w:val="0"/>
                <w:iCs w:val="0"/>
                <w:color w:val="000000"/>
                <w:kern w:val="0"/>
                <w:sz w:val="16"/>
                <w:szCs w:val="16"/>
                <w:highlight w:val="none"/>
                <w:u w:val="none"/>
                <w:lang w:val="en-US" w:eastAsia="zh-CN" w:bidi="ar"/>
              </w:rPr>
              <w:t>工控系统数据接入</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5D6FA49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在现有 </w:t>
            </w:r>
            <w:r>
              <w:rPr>
                <w:rFonts w:hint="default" w:ascii="Calibri" w:hAnsi="Calibri" w:eastAsia="宋体" w:cs="Calibri"/>
                <w:i w:val="0"/>
                <w:iCs w:val="0"/>
                <w:color w:val="000000"/>
                <w:kern w:val="0"/>
                <w:sz w:val="16"/>
                <w:szCs w:val="16"/>
                <w:highlight w:val="none"/>
                <w:u w:val="none"/>
                <w:lang w:val="en-US" w:eastAsia="zh-CN" w:bidi="ar"/>
              </w:rPr>
              <w:t xml:space="preserve">DCS/PLC </w:t>
            </w:r>
            <w:r>
              <w:rPr>
                <w:rFonts w:hint="eastAsia" w:ascii="宋体" w:hAnsi="宋体" w:eastAsia="宋体" w:cs="宋体"/>
                <w:i w:val="0"/>
                <w:iCs w:val="0"/>
                <w:color w:val="000000"/>
                <w:kern w:val="0"/>
                <w:sz w:val="16"/>
                <w:szCs w:val="16"/>
                <w:highlight w:val="none"/>
                <w:u w:val="none"/>
                <w:lang w:val="en-US" w:eastAsia="zh-CN" w:bidi="ar"/>
              </w:rPr>
              <w:t xml:space="preserve">控制体系基础上，规划全厂主要生产设备、关键工艺参数的数据接入范围、数据粒度与接口方式，明确哪些数据来源于 </w:t>
            </w:r>
            <w:r>
              <w:rPr>
                <w:rFonts w:hint="default" w:ascii="Calibri" w:hAnsi="Calibri" w:eastAsia="宋体" w:cs="Calibri"/>
                <w:i w:val="0"/>
                <w:iCs w:val="0"/>
                <w:color w:val="000000"/>
                <w:kern w:val="0"/>
                <w:sz w:val="16"/>
                <w:szCs w:val="16"/>
                <w:highlight w:val="none"/>
                <w:u w:val="none"/>
                <w:lang w:val="en-US" w:eastAsia="zh-CN" w:bidi="ar"/>
              </w:rPr>
              <w:t>DCS/PLC</w:t>
            </w:r>
            <w:r>
              <w:rPr>
                <w:rFonts w:hint="eastAsia" w:ascii="宋体" w:hAnsi="宋体" w:eastAsia="宋体" w:cs="宋体"/>
                <w:i w:val="0"/>
                <w:iCs w:val="0"/>
                <w:color w:val="000000"/>
                <w:kern w:val="0"/>
                <w:sz w:val="16"/>
                <w:szCs w:val="16"/>
                <w:highlight w:val="none"/>
                <w:u w:val="none"/>
                <w:lang w:val="en-US" w:eastAsia="zh-CN" w:bidi="ar"/>
              </w:rPr>
              <w:t>，哪些需直采或补充采集。</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4FD6537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5D1787F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14EDF89E">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54254BE6">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2D36F56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形成完整、可扩展的生产过程数据采集总体设计，为上层分析与管理提供统一数据基础。</w:t>
            </w:r>
          </w:p>
        </w:tc>
      </w:tr>
      <w:tr w14:paraId="78B25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588A66BA">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1516270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传感器与仪表</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0C54395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从工艺完整性和管理需求角度，规划厌氧罐、管道、反应釜（生物柴油）、罐区等关键节点的温度、压力、流量、液位、气体浓度等监测点位与数据接入规范。</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2858991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490D656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0ED068C4">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5A9E868C">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2AD88DC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关键工艺与安全指标具备可感知、可追溯的数据基础。</w:t>
            </w:r>
          </w:p>
        </w:tc>
      </w:tr>
      <w:tr w14:paraId="5BF49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1A7DFC38">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756AFD5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视频监控系统</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3AA66BA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规划覆盖卸料大厅、生产车间、罐区、危废仓库等重点区域的视频接入与系统对接方案，明确视频与数智化平台的接口关系。</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4429FC7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24CF564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4F2CABA0">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4420C1FA">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126D588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生产与安全关键场景可视化，为安全管理与智能分析提供基础。</w:t>
            </w:r>
          </w:p>
        </w:tc>
      </w:tr>
      <w:tr w14:paraId="1D48D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46A3DF08">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3834D07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多协议数据采集</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1C60BD3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设计支持 </w:t>
            </w:r>
            <w:r>
              <w:rPr>
                <w:rFonts w:hint="default" w:ascii="Calibri" w:hAnsi="Calibri" w:eastAsia="宋体" w:cs="Calibri"/>
                <w:i w:val="0"/>
                <w:iCs w:val="0"/>
                <w:color w:val="000000"/>
                <w:kern w:val="0"/>
                <w:sz w:val="16"/>
                <w:szCs w:val="16"/>
                <w:highlight w:val="none"/>
                <w:u w:val="none"/>
                <w:lang w:val="en-US" w:eastAsia="zh-CN" w:bidi="ar"/>
              </w:rPr>
              <w:t>Modbus</w:t>
            </w:r>
            <w:r>
              <w:rPr>
                <w:rFonts w:hint="eastAsia" w:ascii="宋体" w:hAnsi="宋体" w:eastAsia="宋体" w:cs="宋体"/>
                <w:i w:val="0"/>
                <w:iCs w:val="0"/>
                <w:color w:val="000000"/>
                <w:kern w:val="0"/>
                <w:sz w:val="16"/>
                <w:szCs w:val="16"/>
                <w:highlight w:val="none"/>
                <w:u w:val="none"/>
                <w:lang w:val="en-US" w:eastAsia="zh-CN" w:bidi="ar"/>
              </w:rPr>
              <w:t>、</w:t>
            </w:r>
            <w:r>
              <w:rPr>
                <w:rFonts w:hint="default" w:ascii="Calibri" w:hAnsi="Calibri" w:eastAsia="宋体" w:cs="Calibri"/>
                <w:i w:val="0"/>
                <w:iCs w:val="0"/>
                <w:color w:val="000000"/>
                <w:kern w:val="0"/>
                <w:sz w:val="16"/>
                <w:szCs w:val="16"/>
                <w:highlight w:val="none"/>
                <w:u w:val="none"/>
                <w:lang w:val="en-US" w:eastAsia="zh-CN" w:bidi="ar"/>
              </w:rPr>
              <w:t>OPC UA</w:t>
            </w:r>
            <w:r>
              <w:rPr>
                <w:rFonts w:hint="eastAsia" w:ascii="宋体" w:hAnsi="宋体" w:eastAsia="宋体" w:cs="宋体"/>
                <w:i w:val="0"/>
                <w:iCs w:val="0"/>
                <w:color w:val="000000"/>
                <w:kern w:val="0"/>
                <w:sz w:val="16"/>
                <w:szCs w:val="16"/>
                <w:highlight w:val="none"/>
                <w:u w:val="none"/>
                <w:lang w:val="en-US" w:eastAsia="zh-CN" w:bidi="ar"/>
              </w:rPr>
              <w:t>、</w:t>
            </w:r>
            <w:r>
              <w:rPr>
                <w:rFonts w:hint="default" w:ascii="Calibri" w:hAnsi="Calibri" w:eastAsia="宋体" w:cs="Calibri"/>
                <w:i w:val="0"/>
                <w:iCs w:val="0"/>
                <w:color w:val="000000"/>
                <w:kern w:val="0"/>
                <w:sz w:val="16"/>
                <w:szCs w:val="16"/>
                <w:highlight w:val="none"/>
                <w:u w:val="none"/>
                <w:lang w:val="en-US" w:eastAsia="zh-CN" w:bidi="ar"/>
              </w:rPr>
              <w:t xml:space="preserve">Siemens S7 </w:t>
            </w:r>
            <w:r>
              <w:rPr>
                <w:rFonts w:hint="eastAsia" w:ascii="宋体" w:hAnsi="宋体" w:eastAsia="宋体" w:cs="宋体"/>
                <w:i w:val="0"/>
                <w:iCs w:val="0"/>
                <w:color w:val="000000"/>
                <w:kern w:val="0"/>
                <w:sz w:val="16"/>
                <w:szCs w:val="16"/>
                <w:highlight w:val="none"/>
                <w:u w:val="none"/>
                <w:lang w:val="en-US" w:eastAsia="zh-CN" w:bidi="ar"/>
              </w:rPr>
              <w:t>等多协议的统一数据采集架构，覆盖仪表、电表、地磅、环保监测等多源数据。</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39C16A9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268130D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28BDA84B">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486DC95E">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5DAC45C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异构数据统一接入、统一管理。</w:t>
            </w:r>
          </w:p>
        </w:tc>
      </w:tr>
      <w:tr w14:paraId="7DCC6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5E20D59C">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6F33447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边缘计算</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286991E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从系统架构层面规划边缘计算节点的部署位置、功能定位与中心平台的协同关系，不限定具体实现方案。</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5E8C14C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7C76AC7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3962F420">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4891418E">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2E91403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提升系统实时性与稳定性，支撑后续智能分析应用。</w:t>
            </w:r>
          </w:p>
        </w:tc>
      </w:tr>
      <w:tr w14:paraId="1A087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206D0806">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4208FAB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智能自主运行系统</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1E701BF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能将各工段从控制层面上进行连贯起来，同时通过智能报警系统和电子化操作规程等软件，确保整厂的生产智能化，实现生产自主运行。</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31FD3D9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54D2ECC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3F395F8C">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547A12CB">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171B534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提升生产智能化。</w:t>
            </w:r>
          </w:p>
        </w:tc>
      </w:tr>
      <w:tr w14:paraId="00EAF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82" w:type="dxa"/>
            <w:vMerge w:val="restart"/>
            <w:tcBorders>
              <w:top w:val="nil"/>
              <w:left w:val="single" w:color="000000" w:sz="8" w:space="0"/>
              <w:bottom w:val="single" w:color="000000" w:sz="8" w:space="0"/>
              <w:right w:val="single" w:color="000000" w:sz="8" w:space="0"/>
            </w:tcBorders>
            <w:shd w:val="clear" w:color="auto" w:fill="auto"/>
            <w:vAlign w:val="center"/>
          </w:tcPr>
          <w:p w14:paraId="6A7569B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二、数据存储与管理</w:t>
            </w:r>
          </w:p>
        </w:tc>
        <w:tc>
          <w:tcPr>
            <w:tcW w:w="950" w:type="dxa"/>
            <w:tcBorders>
              <w:top w:val="nil"/>
              <w:left w:val="single" w:color="000000" w:sz="8" w:space="0"/>
              <w:bottom w:val="single" w:color="000000" w:sz="8" w:space="0"/>
              <w:right w:val="single" w:color="000000" w:sz="8" w:space="0"/>
            </w:tcBorders>
            <w:shd w:val="clear" w:color="auto" w:fill="auto"/>
            <w:vAlign w:val="center"/>
          </w:tcPr>
          <w:p w14:paraId="2CA6706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统一数据平台</w:t>
            </w:r>
            <w:r>
              <w:rPr>
                <w:rFonts w:hint="default" w:ascii="Calibri" w:hAnsi="Calibri" w:eastAsia="宋体" w:cs="Calibri"/>
                <w:i w:val="0"/>
                <w:iCs w:val="0"/>
                <w:color w:val="000000"/>
                <w:kern w:val="0"/>
                <w:sz w:val="16"/>
                <w:szCs w:val="16"/>
                <w:highlight w:val="none"/>
                <w:u w:val="none"/>
                <w:lang w:val="en-US" w:eastAsia="zh-CN" w:bidi="ar"/>
              </w:rPr>
              <w:t>/</w:t>
            </w:r>
            <w:r>
              <w:rPr>
                <w:rFonts w:hint="eastAsia" w:ascii="宋体" w:hAnsi="宋体" w:eastAsia="宋体" w:cs="宋体"/>
                <w:i w:val="0"/>
                <w:iCs w:val="0"/>
                <w:color w:val="000000"/>
                <w:kern w:val="0"/>
                <w:sz w:val="16"/>
                <w:szCs w:val="16"/>
                <w:highlight w:val="none"/>
                <w:u w:val="none"/>
                <w:lang w:val="en-US" w:eastAsia="zh-CN" w:bidi="ar"/>
              </w:rPr>
              <w:t>中台</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125132E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规划包含时序数据、业务数据、文档与多媒体数据的统一工业数据平台总体架构。</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5197969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0222B4E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7CB15246">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7A7598FA">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631F3C7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数据集中、可管理、可复用。</w:t>
            </w:r>
          </w:p>
        </w:tc>
      </w:tr>
      <w:tr w14:paraId="573D4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238F3EF8">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396C634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数据模型与标准</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404D9DB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设计面向餐厨垃圾与生物柴油等核心业务的数据模型、主数据和指标体系，明确数据口径与计算逻辑。</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7A829EF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588F13A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023B04ED">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6231725A">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49232BA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指标口径统一，支撑跨系统、跨厂区分析。</w:t>
            </w:r>
          </w:p>
        </w:tc>
      </w:tr>
      <w:tr w14:paraId="41590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2E551D64">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15E693C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数据治理</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6CB9CA8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规划数据清洗、质量管理、血缘追溯等数据治理能力。</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4EDAA67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778B072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3D4D967B">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286F1C6D">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6FCC379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数据可信、可追溯。</w:t>
            </w:r>
          </w:p>
        </w:tc>
      </w:tr>
      <w:tr w14:paraId="41C0C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trPr>
        <w:tc>
          <w:tcPr>
            <w:tcW w:w="582" w:type="dxa"/>
            <w:vMerge w:val="restart"/>
            <w:tcBorders>
              <w:top w:val="nil"/>
              <w:left w:val="single" w:color="000000" w:sz="8" w:space="0"/>
              <w:bottom w:val="single" w:color="000000" w:sz="8" w:space="0"/>
              <w:right w:val="single" w:color="000000" w:sz="8" w:space="0"/>
            </w:tcBorders>
            <w:shd w:val="clear" w:color="auto" w:fill="auto"/>
            <w:vAlign w:val="center"/>
          </w:tcPr>
          <w:p w14:paraId="4917FFA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三、数据分析与应用</w:t>
            </w:r>
          </w:p>
        </w:tc>
        <w:tc>
          <w:tcPr>
            <w:tcW w:w="950" w:type="dxa"/>
            <w:tcBorders>
              <w:top w:val="nil"/>
              <w:left w:val="single" w:color="000000" w:sz="8" w:space="0"/>
              <w:bottom w:val="single" w:color="000000" w:sz="8" w:space="0"/>
              <w:right w:val="single" w:color="000000" w:sz="8" w:space="0"/>
            </w:tcBorders>
            <w:shd w:val="clear" w:color="auto" w:fill="auto"/>
            <w:vAlign w:val="center"/>
          </w:tcPr>
          <w:p w14:paraId="0D36628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报表与</w:t>
            </w:r>
            <w:r>
              <w:rPr>
                <w:rFonts w:hint="default" w:ascii="Calibri" w:hAnsi="Calibri" w:eastAsia="宋体" w:cs="Calibri"/>
                <w:i w:val="0"/>
                <w:iCs w:val="0"/>
                <w:color w:val="000000"/>
                <w:kern w:val="0"/>
                <w:sz w:val="16"/>
                <w:szCs w:val="16"/>
                <w:highlight w:val="none"/>
                <w:u w:val="none"/>
                <w:lang w:val="en-US" w:eastAsia="zh-CN" w:bidi="ar"/>
              </w:rPr>
              <w:t>BI</w:t>
            </w:r>
            <w:r>
              <w:rPr>
                <w:rFonts w:hint="eastAsia" w:ascii="宋体" w:hAnsi="宋体" w:eastAsia="宋体" w:cs="宋体"/>
                <w:i w:val="0"/>
                <w:iCs w:val="0"/>
                <w:color w:val="000000"/>
                <w:kern w:val="0"/>
                <w:sz w:val="16"/>
                <w:szCs w:val="16"/>
                <w:highlight w:val="none"/>
                <w:u w:val="none"/>
                <w:lang w:val="en-US" w:eastAsia="zh-CN" w:bidi="ar"/>
              </w:rPr>
              <w:t>分析</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24EBE7D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规划支持生产、设备、能源、安全、环保等主题的报表与分析能力，支持多维分析与自定义配置。</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3759BA5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1BCA77B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199326B5">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5011EC14">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699AE46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管理与业务人员可基于数据进行分析决策。</w:t>
            </w:r>
          </w:p>
        </w:tc>
      </w:tr>
      <w:tr w14:paraId="2EB9A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28CA8691">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15D5F0C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指标分析模型</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727AD98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设计 </w:t>
            </w:r>
            <w:r>
              <w:rPr>
                <w:rFonts w:hint="default" w:ascii="Calibri" w:hAnsi="Calibri" w:eastAsia="宋体" w:cs="Calibri"/>
                <w:i w:val="0"/>
                <w:iCs w:val="0"/>
                <w:color w:val="000000"/>
                <w:kern w:val="0"/>
                <w:sz w:val="16"/>
                <w:szCs w:val="16"/>
                <w:highlight w:val="none"/>
                <w:u w:val="none"/>
                <w:lang w:val="en-US" w:eastAsia="zh-CN" w:bidi="ar"/>
              </w:rPr>
              <w:t>OEE</w:t>
            </w:r>
            <w:r>
              <w:rPr>
                <w:rFonts w:hint="eastAsia" w:ascii="宋体" w:hAnsi="宋体" w:eastAsia="宋体" w:cs="宋体"/>
                <w:i w:val="0"/>
                <w:iCs w:val="0"/>
                <w:color w:val="000000"/>
                <w:kern w:val="0"/>
                <w:sz w:val="16"/>
                <w:szCs w:val="16"/>
                <w:highlight w:val="none"/>
                <w:u w:val="none"/>
                <w:lang w:val="en-US" w:eastAsia="zh-CN" w:bidi="ar"/>
              </w:rPr>
              <w:t>（设备综合效率）、能耗、提油率、单位处理成本等关键指标的分析模型与展示方式。</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3C696B4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270AD59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1E5A77E3">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63BF3CCA">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5CA0341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关键运营指标可分析、可对比。</w:t>
            </w:r>
          </w:p>
        </w:tc>
      </w:tr>
      <w:tr w14:paraId="46A24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82" w:type="dxa"/>
            <w:vMerge w:val="restart"/>
            <w:tcBorders>
              <w:top w:val="nil"/>
              <w:left w:val="single" w:color="000000" w:sz="8" w:space="0"/>
              <w:bottom w:val="single" w:color="000000" w:sz="8" w:space="0"/>
              <w:right w:val="single" w:color="000000" w:sz="8" w:space="0"/>
            </w:tcBorders>
            <w:shd w:val="clear" w:color="auto" w:fill="auto"/>
            <w:vAlign w:val="center"/>
          </w:tcPr>
          <w:p w14:paraId="718CDB5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四、核心业务应用（餐厨垃圾</w:t>
            </w:r>
            <w:r>
              <w:rPr>
                <w:rFonts w:hint="default" w:ascii="Calibri" w:hAnsi="Calibri" w:eastAsia="宋体" w:cs="Calibri"/>
                <w:i w:val="0"/>
                <w:iCs w:val="0"/>
                <w:color w:val="000000"/>
                <w:kern w:val="0"/>
                <w:sz w:val="16"/>
                <w:szCs w:val="16"/>
                <w:highlight w:val="none"/>
                <w:u w:val="none"/>
                <w:lang w:val="en-US" w:eastAsia="zh-CN" w:bidi="ar"/>
              </w:rPr>
              <w:t>+</w:t>
            </w:r>
            <w:r>
              <w:rPr>
                <w:rFonts w:hint="eastAsia" w:ascii="宋体" w:hAnsi="宋体" w:eastAsia="宋体" w:cs="宋体"/>
                <w:i w:val="0"/>
                <w:iCs w:val="0"/>
                <w:color w:val="000000"/>
                <w:kern w:val="0"/>
                <w:sz w:val="16"/>
                <w:szCs w:val="16"/>
                <w:highlight w:val="none"/>
                <w:u w:val="none"/>
                <w:lang w:val="en-US" w:eastAsia="zh-CN" w:bidi="ar"/>
              </w:rPr>
              <w:t>生物柴油）</w:t>
            </w:r>
          </w:p>
        </w:tc>
        <w:tc>
          <w:tcPr>
            <w:tcW w:w="950" w:type="dxa"/>
            <w:tcBorders>
              <w:top w:val="nil"/>
              <w:left w:val="single" w:color="000000" w:sz="8" w:space="0"/>
              <w:bottom w:val="single" w:color="000000" w:sz="8" w:space="0"/>
              <w:right w:val="single" w:color="000000" w:sz="8" w:space="0"/>
            </w:tcBorders>
            <w:shd w:val="clear" w:color="auto" w:fill="auto"/>
            <w:vAlign w:val="center"/>
          </w:tcPr>
          <w:p w14:paraId="52F7460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生产过程可视化</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1F94FEF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规划餐厨垃圾处理、生物柴油酶法工艺的生产流程示意与关键参数展示方式，体现工艺特点与管理关注点。</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12DA8F7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4A15B6E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05AF221F">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6660242D">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774641C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生产状态直观呈现，提升运行透明度。</w:t>
            </w:r>
          </w:p>
        </w:tc>
      </w:tr>
      <w:tr w14:paraId="61416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22BFD280">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0E5695A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物料管理（生物柴油）</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625CCB2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设计原料、成品、辅料（如甲醇）进出厂、库存与罐区物料动态展示与管理方案。</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2EB8E69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6B2817A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6A67722D">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1D92CF87">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1B76F2C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物料流向清晰、库存状态可视。</w:t>
            </w:r>
          </w:p>
        </w:tc>
      </w:tr>
      <w:tr w14:paraId="29F9C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162F91E7">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110C4CC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化验管理（生物柴油）</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48C674C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规划在线检测与人工化验数据的统一管理与展示方式。</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46DA055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35415B9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0A8ACB4F">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5DC6F69D">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7551140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化验数据集中、可追溯。</w:t>
            </w:r>
          </w:p>
        </w:tc>
      </w:tr>
      <w:tr w14:paraId="68779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2" w:type="dxa"/>
            <w:vMerge w:val="restart"/>
            <w:tcBorders>
              <w:top w:val="nil"/>
              <w:left w:val="single" w:color="000000" w:sz="8" w:space="0"/>
              <w:bottom w:val="single" w:color="000000" w:sz="8" w:space="0"/>
              <w:right w:val="single" w:color="000000" w:sz="8" w:space="0"/>
            </w:tcBorders>
            <w:shd w:val="clear" w:color="auto" w:fill="auto"/>
            <w:vAlign w:val="center"/>
          </w:tcPr>
          <w:p w14:paraId="41ABD79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五、生产运营管理体系</w:t>
            </w:r>
          </w:p>
        </w:tc>
        <w:tc>
          <w:tcPr>
            <w:tcW w:w="950" w:type="dxa"/>
            <w:vMerge w:val="restart"/>
            <w:tcBorders>
              <w:top w:val="nil"/>
              <w:left w:val="single" w:color="000000" w:sz="8" w:space="0"/>
              <w:bottom w:val="single" w:color="000000" w:sz="8" w:space="0"/>
              <w:right w:val="single" w:color="000000" w:sz="8" w:space="0"/>
            </w:tcBorders>
            <w:shd w:val="clear" w:color="auto" w:fill="auto"/>
            <w:vAlign w:val="center"/>
          </w:tcPr>
          <w:p w14:paraId="35BA9AD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设备全生命周期管理</w:t>
            </w:r>
          </w:p>
        </w:tc>
        <w:tc>
          <w:tcPr>
            <w:tcW w:w="3487" w:type="dxa"/>
            <w:tcBorders>
              <w:top w:val="nil"/>
              <w:left w:val="single" w:color="000000" w:sz="8" w:space="0"/>
              <w:bottom w:val="nil"/>
              <w:right w:val="single" w:color="000000" w:sz="8" w:space="0"/>
            </w:tcBorders>
            <w:shd w:val="clear" w:color="auto" w:fill="auto"/>
            <w:vAlign w:val="center"/>
          </w:tcPr>
          <w:p w14:paraId="698AF215">
            <w:pPr>
              <w:keepNext w:val="0"/>
              <w:keepLines w:val="0"/>
              <w:widowControl/>
              <w:suppressLineNumbers w:val="0"/>
              <w:jc w:val="center"/>
              <w:textAlignment w:val="center"/>
              <w:rPr>
                <w:rFonts w:hint="default" w:ascii="Calibri" w:hAnsi="Calibri" w:eastAsia="宋体" w:cs="Calibri"/>
                <w:i w:val="0"/>
                <w:iCs w:val="0"/>
                <w:color w:val="000000"/>
                <w:sz w:val="16"/>
                <w:szCs w:val="16"/>
                <w:highlight w:val="none"/>
                <w:u w:val="none"/>
              </w:rPr>
            </w:pPr>
            <w:r>
              <w:rPr>
                <w:rFonts w:hint="default" w:ascii="Calibri" w:hAnsi="Calibri" w:eastAsia="宋体" w:cs="Calibri"/>
                <w:i w:val="0"/>
                <w:iCs w:val="0"/>
                <w:color w:val="000000"/>
                <w:kern w:val="0"/>
                <w:sz w:val="16"/>
                <w:szCs w:val="16"/>
                <w:highlight w:val="none"/>
                <w:u w:val="none"/>
                <w:lang w:val="en-US" w:eastAsia="zh-CN" w:bidi="ar"/>
              </w:rPr>
              <w:t>1</w:t>
            </w:r>
            <w:r>
              <w:rPr>
                <w:rFonts w:hint="eastAsia" w:ascii="宋体" w:hAnsi="宋体" w:eastAsia="宋体" w:cs="宋体"/>
                <w:i w:val="0"/>
                <w:iCs w:val="0"/>
                <w:color w:val="000000"/>
                <w:kern w:val="0"/>
                <w:sz w:val="16"/>
                <w:szCs w:val="16"/>
                <w:highlight w:val="none"/>
                <w:u w:val="none"/>
                <w:lang w:val="en-US" w:eastAsia="zh-CN" w:bidi="ar"/>
              </w:rPr>
              <w:t>、设备台账与维护：设计“一机一档”、检维修、保养计划、特种设备管理的整体功能架构。</w:t>
            </w:r>
          </w:p>
        </w:tc>
        <w:tc>
          <w:tcPr>
            <w:tcW w:w="725" w:type="dxa"/>
            <w:tcBorders>
              <w:top w:val="nil"/>
              <w:left w:val="single" w:color="000000" w:sz="8" w:space="0"/>
              <w:bottom w:val="nil"/>
              <w:right w:val="single" w:color="000000" w:sz="8" w:space="0"/>
            </w:tcBorders>
            <w:shd w:val="clear" w:color="auto" w:fill="auto"/>
            <w:vAlign w:val="center"/>
          </w:tcPr>
          <w:p w14:paraId="011B160B">
            <w:pPr>
              <w:jc w:val="center"/>
              <w:rPr>
                <w:rFonts w:hint="default" w:ascii="Calibri" w:hAnsi="Calibri" w:eastAsia="宋体" w:cs="Calibri"/>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52354504">
            <w:pPr>
              <w:jc w:val="center"/>
              <w:rPr>
                <w:rFonts w:hint="default" w:ascii="Calibri" w:hAnsi="Calibri" w:eastAsia="宋体" w:cs="Calibri"/>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6DE0A583">
            <w:pPr>
              <w:jc w:val="center"/>
              <w:rPr>
                <w:rFonts w:hint="default" w:ascii="Calibri" w:hAnsi="Calibri" w:eastAsia="宋体" w:cs="Calibri"/>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0D3BF7D7">
            <w:pPr>
              <w:jc w:val="center"/>
              <w:rPr>
                <w:rFonts w:hint="default" w:ascii="Calibri" w:hAnsi="Calibri" w:eastAsia="宋体" w:cs="Calibri"/>
                <w:i w:val="0"/>
                <w:iCs w:val="0"/>
                <w:color w:val="000000"/>
                <w:sz w:val="16"/>
                <w:szCs w:val="16"/>
                <w:highlight w:val="none"/>
                <w:u w:val="none"/>
              </w:rPr>
            </w:pPr>
          </w:p>
        </w:tc>
        <w:tc>
          <w:tcPr>
            <w:tcW w:w="1411" w:type="dxa"/>
            <w:vMerge w:val="restart"/>
            <w:tcBorders>
              <w:top w:val="nil"/>
              <w:left w:val="single" w:color="000000" w:sz="8" w:space="0"/>
              <w:bottom w:val="single" w:color="000000" w:sz="8" w:space="0"/>
              <w:right w:val="single" w:color="000000" w:sz="8" w:space="0"/>
            </w:tcBorders>
            <w:shd w:val="clear" w:color="auto" w:fill="auto"/>
            <w:vAlign w:val="center"/>
          </w:tcPr>
          <w:p w14:paraId="40840B9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设备状态透明、管理规范，支撑预测性维护能力建设。</w:t>
            </w:r>
          </w:p>
        </w:tc>
      </w:tr>
      <w:tr w14:paraId="7C197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3E54572D">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386FB13F">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7C41686C">
            <w:pPr>
              <w:keepNext w:val="0"/>
              <w:keepLines w:val="0"/>
              <w:widowControl/>
              <w:suppressLineNumbers w:val="0"/>
              <w:jc w:val="center"/>
              <w:textAlignment w:val="center"/>
              <w:rPr>
                <w:rFonts w:hint="default" w:ascii="Calibri" w:hAnsi="Calibri" w:eastAsia="宋体" w:cs="Calibri"/>
                <w:i w:val="0"/>
                <w:iCs w:val="0"/>
                <w:color w:val="000000"/>
                <w:sz w:val="16"/>
                <w:szCs w:val="16"/>
                <w:highlight w:val="none"/>
                <w:u w:val="none"/>
              </w:rPr>
            </w:pPr>
            <w:r>
              <w:rPr>
                <w:rFonts w:hint="default" w:ascii="Calibri" w:hAnsi="Calibri" w:eastAsia="宋体" w:cs="Calibri"/>
                <w:i w:val="0"/>
                <w:iCs w:val="0"/>
                <w:color w:val="000000"/>
                <w:kern w:val="0"/>
                <w:sz w:val="16"/>
                <w:szCs w:val="16"/>
                <w:highlight w:val="none"/>
                <w:u w:val="none"/>
                <w:lang w:val="en-US" w:eastAsia="zh-CN" w:bidi="ar"/>
              </w:rPr>
              <w:t>2</w:t>
            </w:r>
            <w:r>
              <w:rPr>
                <w:rFonts w:hint="eastAsia" w:ascii="宋体" w:hAnsi="宋体" w:eastAsia="宋体" w:cs="宋体"/>
                <w:i w:val="0"/>
                <w:iCs w:val="0"/>
                <w:color w:val="000000"/>
                <w:kern w:val="0"/>
                <w:sz w:val="16"/>
                <w:szCs w:val="16"/>
                <w:highlight w:val="none"/>
                <w:u w:val="none"/>
                <w:lang w:val="en-US" w:eastAsia="zh-CN" w:bidi="ar"/>
              </w:rPr>
              <w:t>、设备健康分析：从规划角度提出基于多源数据的重要设备健康评估与故障预测设计思路，不限定算法与精度指标。</w:t>
            </w:r>
          </w:p>
        </w:tc>
        <w:tc>
          <w:tcPr>
            <w:tcW w:w="725" w:type="dxa"/>
            <w:tcBorders>
              <w:top w:val="nil"/>
              <w:left w:val="single" w:color="000000" w:sz="8" w:space="0"/>
              <w:bottom w:val="nil"/>
              <w:right w:val="single" w:color="000000" w:sz="8" w:space="0"/>
            </w:tcBorders>
            <w:shd w:val="clear" w:color="auto" w:fill="auto"/>
            <w:vAlign w:val="center"/>
          </w:tcPr>
          <w:p w14:paraId="47134EF6">
            <w:pPr>
              <w:keepNext w:val="0"/>
              <w:keepLines w:val="0"/>
              <w:widowControl/>
              <w:suppressLineNumbers w:val="0"/>
              <w:jc w:val="center"/>
              <w:textAlignment w:val="center"/>
              <w:rPr>
                <w:rFonts w:hint="default" w:ascii="Calibri" w:hAnsi="Calibri" w:eastAsia="宋体" w:cs="Calibri"/>
                <w:i w:val="0"/>
                <w:iCs w:val="0"/>
                <w:color w:val="000000"/>
                <w:sz w:val="16"/>
                <w:szCs w:val="16"/>
                <w:highlight w:val="none"/>
                <w:u w:val="none"/>
              </w:rPr>
            </w:pPr>
            <w:r>
              <w:rPr>
                <w:rFonts w:hint="default" w:ascii="Calibri" w:hAnsi="Calibri" w:eastAsia="宋体" w:cs="Calibri"/>
                <w:i w:val="0"/>
                <w:iCs w:val="0"/>
                <w:color w:val="000000"/>
                <w:kern w:val="0"/>
                <w:sz w:val="16"/>
                <w:szCs w:val="16"/>
                <w:highlight w:val="none"/>
                <w:u w:val="none"/>
                <w:lang w:val="en-US" w:eastAsia="zh-CN" w:bidi="ar"/>
              </w:rPr>
              <w:t>1</w:t>
            </w:r>
          </w:p>
        </w:tc>
        <w:tc>
          <w:tcPr>
            <w:tcW w:w="725" w:type="dxa"/>
            <w:tcBorders>
              <w:top w:val="nil"/>
              <w:left w:val="single" w:color="000000" w:sz="8" w:space="0"/>
              <w:bottom w:val="nil"/>
              <w:right w:val="single" w:color="000000" w:sz="8" w:space="0"/>
            </w:tcBorders>
            <w:shd w:val="clear" w:color="auto" w:fill="auto"/>
            <w:vAlign w:val="center"/>
          </w:tcPr>
          <w:p w14:paraId="15C4FC6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nil"/>
              <w:right w:val="single" w:color="000000" w:sz="8" w:space="0"/>
            </w:tcBorders>
            <w:shd w:val="clear" w:color="auto" w:fill="auto"/>
            <w:vAlign w:val="center"/>
          </w:tcPr>
          <w:p w14:paraId="7CACF0D3">
            <w:pPr>
              <w:jc w:val="center"/>
              <w:rPr>
                <w:rFonts w:hint="default" w:ascii="Calibri" w:hAnsi="Calibri" w:eastAsia="宋体" w:cs="Calibri"/>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6CFD60E2">
            <w:pPr>
              <w:jc w:val="center"/>
              <w:rPr>
                <w:rFonts w:hint="default" w:ascii="Calibri" w:hAnsi="Calibri" w:eastAsia="宋体" w:cs="Calibri"/>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72F3AF59">
            <w:pPr>
              <w:jc w:val="center"/>
              <w:rPr>
                <w:rFonts w:hint="eastAsia" w:ascii="宋体" w:hAnsi="宋体" w:eastAsia="宋体" w:cs="宋体"/>
                <w:i w:val="0"/>
                <w:iCs w:val="0"/>
                <w:color w:val="000000"/>
                <w:sz w:val="16"/>
                <w:szCs w:val="16"/>
                <w:highlight w:val="none"/>
                <w:u w:val="none"/>
              </w:rPr>
            </w:pPr>
          </w:p>
        </w:tc>
      </w:tr>
      <w:tr w14:paraId="0E458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0139F493">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362C8B7B">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7D9FA0F0">
            <w:pPr>
              <w:keepNext w:val="0"/>
              <w:keepLines w:val="0"/>
              <w:widowControl/>
              <w:suppressLineNumbers w:val="0"/>
              <w:jc w:val="center"/>
              <w:textAlignment w:val="center"/>
              <w:rPr>
                <w:rFonts w:hint="default" w:ascii="Calibri" w:hAnsi="Calibri" w:eastAsia="宋体" w:cs="Calibri"/>
                <w:i w:val="0"/>
                <w:iCs w:val="0"/>
                <w:color w:val="000000"/>
                <w:sz w:val="16"/>
                <w:szCs w:val="16"/>
                <w:highlight w:val="none"/>
                <w:u w:val="none"/>
              </w:rPr>
            </w:pPr>
            <w:r>
              <w:rPr>
                <w:rFonts w:hint="default" w:ascii="Calibri" w:hAnsi="Calibri" w:eastAsia="宋体" w:cs="Calibri"/>
                <w:i w:val="0"/>
                <w:iCs w:val="0"/>
                <w:color w:val="000000"/>
                <w:kern w:val="0"/>
                <w:sz w:val="16"/>
                <w:szCs w:val="16"/>
                <w:highlight w:val="none"/>
                <w:u w:val="none"/>
                <w:lang w:val="en-US" w:eastAsia="zh-CN" w:bidi="ar"/>
              </w:rPr>
              <w:t xml:space="preserve">3. </w:t>
            </w:r>
            <w:r>
              <w:rPr>
                <w:rFonts w:hint="eastAsia" w:ascii="宋体" w:hAnsi="宋体" w:eastAsia="宋体" w:cs="宋体"/>
                <w:i w:val="0"/>
                <w:iCs w:val="0"/>
                <w:color w:val="000000"/>
                <w:kern w:val="0"/>
                <w:sz w:val="16"/>
                <w:szCs w:val="16"/>
                <w:highlight w:val="none"/>
                <w:u w:val="none"/>
                <w:lang w:val="en-US" w:eastAsia="zh-CN" w:bidi="ar"/>
              </w:rPr>
              <w:t>设备知识库：沉淀维修经验、技术手册，形成故障处理知识库，为维修提供智能辅助。</w:t>
            </w:r>
          </w:p>
        </w:tc>
        <w:tc>
          <w:tcPr>
            <w:tcW w:w="725" w:type="dxa"/>
            <w:tcBorders>
              <w:top w:val="nil"/>
              <w:left w:val="single" w:color="000000" w:sz="8" w:space="0"/>
              <w:bottom w:val="nil"/>
              <w:right w:val="single" w:color="000000" w:sz="8" w:space="0"/>
            </w:tcBorders>
            <w:shd w:val="clear" w:color="auto" w:fill="auto"/>
            <w:vAlign w:val="center"/>
          </w:tcPr>
          <w:p w14:paraId="54D8BCB9">
            <w:pPr>
              <w:jc w:val="center"/>
              <w:rPr>
                <w:rFonts w:hint="default" w:ascii="Calibri" w:hAnsi="Calibri" w:eastAsia="宋体" w:cs="Calibri"/>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51CA2CE9">
            <w:pPr>
              <w:jc w:val="center"/>
              <w:rPr>
                <w:rFonts w:hint="default" w:ascii="Calibri" w:hAnsi="Calibri" w:eastAsia="宋体" w:cs="Calibri"/>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64C9E326">
            <w:pPr>
              <w:jc w:val="center"/>
              <w:rPr>
                <w:rFonts w:hint="default" w:ascii="Calibri" w:hAnsi="Calibri" w:eastAsia="宋体" w:cs="Calibri"/>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42D20FB6">
            <w:pPr>
              <w:jc w:val="center"/>
              <w:rPr>
                <w:rFonts w:hint="default" w:ascii="Calibri" w:hAnsi="Calibri" w:eastAsia="宋体" w:cs="Calibri"/>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6D9C0DCA">
            <w:pPr>
              <w:jc w:val="center"/>
              <w:rPr>
                <w:rFonts w:hint="eastAsia" w:ascii="宋体" w:hAnsi="宋体" w:eastAsia="宋体" w:cs="宋体"/>
                <w:i w:val="0"/>
                <w:iCs w:val="0"/>
                <w:color w:val="000000"/>
                <w:sz w:val="16"/>
                <w:szCs w:val="16"/>
                <w:highlight w:val="none"/>
                <w:u w:val="none"/>
              </w:rPr>
            </w:pPr>
          </w:p>
        </w:tc>
      </w:tr>
      <w:tr w14:paraId="2486C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3136995D">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4A9B4946">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2E36E804">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single" w:color="000000" w:sz="8" w:space="0"/>
              <w:right w:val="single" w:color="000000" w:sz="8" w:space="0"/>
            </w:tcBorders>
            <w:shd w:val="clear" w:color="auto" w:fill="auto"/>
            <w:vAlign w:val="center"/>
          </w:tcPr>
          <w:p w14:paraId="1DD145D4">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single" w:color="000000" w:sz="8" w:space="0"/>
              <w:right w:val="single" w:color="000000" w:sz="8" w:space="0"/>
            </w:tcBorders>
            <w:shd w:val="clear" w:color="auto" w:fill="auto"/>
            <w:vAlign w:val="center"/>
          </w:tcPr>
          <w:p w14:paraId="7D28C812">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single" w:color="000000" w:sz="8" w:space="0"/>
              <w:right w:val="single" w:color="000000" w:sz="8" w:space="0"/>
            </w:tcBorders>
            <w:shd w:val="clear" w:color="auto" w:fill="auto"/>
            <w:vAlign w:val="center"/>
          </w:tcPr>
          <w:p w14:paraId="73161384">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00FF261C">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2920F966">
            <w:pPr>
              <w:jc w:val="center"/>
              <w:rPr>
                <w:rFonts w:hint="eastAsia" w:ascii="宋体" w:hAnsi="宋体" w:eastAsia="宋体" w:cs="宋体"/>
                <w:i w:val="0"/>
                <w:iCs w:val="0"/>
                <w:color w:val="000000"/>
                <w:sz w:val="16"/>
                <w:szCs w:val="16"/>
                <w:highlight w:val="none"/>
                <w:u w:val="none"/>
              </w:rPr>
            </w:pPr>
          </w:p>
        </w:tc>
      </w:tr>
      <w:tr w14:paraId="7D6D4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292275C1">
            <w:pPr>
              <w:jc w:val="center"/>
              <w:rPr>
                <w:rFonts w:hint="eastAsia" w:ascii="宋体" w:hAnsi="宋体" w:eastAsia="宋体" w:cs="宋体"/>
                <w:i w:val="0"/>
                <w:iCs w:val="0"/>
                <w:color w:val="000000"/>
                <w:sz w:val="16"/>
                <w:szCs w:val="16"/>
                <w:highlight w:val="none"/>
                <w:u w:val="none"/>
              </w:rPr>
            </w:pPr>
          </w:p>
        </w:tc>
        <w:tc>
          <w:tcPr>
            <w:tcW w:w="950" w:type="dxa"/>
            <w:vMerge w:val="restart"/>
            <w:tcBorders>
              <w:top w:val="nil"/>
              <w:left w:val="single" w:color="000000" w:sz="8" w:space="0"/>
              <w:bottom w:val="single" w:color="000000" w:sz="8" w:space="0"/>
              <w:right w:val="single" w:color="000000" w:sz="8" w:space="0"/>
            </w:tcBorders>
            <w:shd w:val="clear" w:color="auto" w:fill="auto"/>
            <w:vAlign w:val="center"/>
          </w:tcPr>
          <w:p w14:paraId="4423B06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能源管理</w:t>
            </w:r>
          </w:p>
        </w:tc>
        <w:tc>
          <w:tcPr>
            <w:tcW w:w="3487" w:type="dxa"/>
            <w:vMerge w:val="restart"/>
            <w:tcBorders>
              <w:top w:val="nil"/>
              <w:left w:val="single" w:color="000000" w:sz="8" w:space="0"/>
              <w:bottom w:val="single" w:color="000000" w:sz="8" w:space="0"/>
              <w:right w:val="single" w:color="000000" w:sz="8" w:space="0"/>
            </w:tcBorders>
            <w:shd w:val="clear" w:color="auto" w:fill="auto"/>
            <w:vAlign w:val="center"/>
          </w:tcPr>
          <w:p w14:paraId="7546371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能源监测与能耗分析：在既有用电自平衡与发电控制系统已完成设计的前提下，规划水、电、蒸汽、沼气等能源数据的接入、分析与可视化展示方式。 </w:t>
            </w:r>
            <w:r>
              <w:rPr>
                <w:rFonts w:hint="default" w:ascii="Calibri" w:hAnsi="Calibri" w:eastAsia="宋体" w:cs="Calibri"/>
                <w:i w:val="0"/>
                <w:iCs w:val="0"/>
                <w:color w:val="000000"/>
                <w:kern w:val="0"/>
                <w:sz w:val="16"/>
                <w:szCs w:val="16"/>
                <w:highlight w:val="none"/>
                <w:u w:val="none"/>
                <w:lang w:val="en-US" w:eastAsia="zh-CN" w:bidi="ar"/>
              </w:rPr>
              <w:t xml:space="preserve"> </w:t>
            </w:r>
          </w:p>
        </w:tc>
        <w:tc>
          <w:tcPr>
            <w:tcW w:w="725" w:type="dxa"/>
            <w:vMerge w:val="restart"/>
            <w:tcBorders>
              <w:top w:val="nil"/>
              <w:left w:val="single" w:color="000000" w:sz="8" w:space="0"/>
              <w:bottom w:val="single" w:color="000000" w:sz="8" w:space="0"/>
              <w:right w:val="single" w:color="000000" w:sz="8" w:space="0"/>
            </w:tcBorders>
            <w:shd w:val="clear" w:color="auto" w:fill="auto"/>
            <w:vAlign w:val="center"/>
          </w:tcPr>
          <w:p w14:paraId="3539782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vMerge w:val="restart"/>
            <w:tcBorders>
              <w:top w:val="nil"/>
              <w:left w:val="single" w:color="000000" w:sz="8" w:space="0"/>
              <w:bottom w:val="single" w:color="000000" w:sz="8" w:space="0"/>
              <w:right w:val="single" w:color="000000" w:sz="8" w:space="0"/>
            </w:tcBorders>
            <w:shd w:val="clear" w:color="auto" w:fill="auto"/>
            <w:vAlign w:val="center"/>
          </w:tcPr>
          <w:p w14:paraId="7088F2C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vMerge w:val="restart"/>
            <w:tcBorders>
              <w:top w:val="nil"/>
              <w:left w:val="single" w:color="000000" w:sz="8" w:space="0"/>
              <w:bottom w:val="single" w:color="000000" w:sz="8" w:space="0"/>
              <w:right w:val="single" w:color="000000" w:sz="8" w:space="0"/>
            </w:tcBorders>
            <w:shd w:val="clear" w:color="auto" w:fill="auto"/>
            <w:vAlign w:val="center"/>
          </w:tcPr>
          <w:p w14:paraId="37A23230">
            <w:pPr>
              <w:jc w:val="center"/>
              <w:rPr>
                <w:rFonts w:hint="eastAsia" w:ascii="宋体" w:hAnsi="宋体" w:eastAsia="宋体" w:cs="宋体"/>
                <w:i w:val="0"/>
                <w:iCs w:val="0"/>
                <w:color w:val="000000"/>
                <w:sz w:val="16"/>
                <w:szCs w:val="16"/>
                <w:highlight w:val="none"/>
                <w:u w:val="none"/>
              </w:rPr>
            </w:pPr>
          </w:p>
        </w:tc>
        <w:tc>
          <w:tcPr>
            <w:tcW w:w="1000" w:type="dxa"/>
            <w:vMerge w:val="restart"/>
            <w:tcBorders>
              <w:top w:val="nil"/>
              <w:left w:val="single" w:color="000000" w:sz="8" w:space="0"/>
              <w:bottom w:val="single" w:color="000000" w:sz="8" w:space="0"/>
              <w:right w:val="single" w:color="000000" w:sz="8" w:space="0"/>
            </w:tcBorders>
            <w:shd w:val="clear" w:color="auto" w:fill="auto"/>
            <w:vAlign w:val="center"/>
          </w:tcPr>
          <w:p w14:paraId="3F98FEC3">
            <w:pPr>
              <w:jc w:val="center"/>
              <w:rPr>
                <w:rFonts w:hint="eastAsia" w:ascii="宋体" w:hAnsi="宋体" w:eastAsia="宋体" w:cs="宋体"/>
                <w:i w:val="0"/>
                <w:iCs w:val="0"/>
                <w:color w:val="000000"/>
                <w:sz w:val="16"/>
                <w:szCs w:val="16"/>
                <w:highlight w:val="none"/>
                <w:u w:val="none"/>
              </w:rPr>
            </w:pPr>
          </w:p>
        </w:tc>
        <w:tc>
          <w:tcPr>
            <w:tcW w:w="1411" w:type="dxa"/>
            <w:vMerge w:val="restart"/>
            <w:tcBorders>
              <w:top w:val="nil"/>
              <w:left w:val="single" w:color="000000" w:sz="8" w:space="0"/>
              <w:bottom w:val="single" w:color="000000" w:sz="8" w:space="0"/>
              <w:right w:val="single" w:color="000000" w:sz="8" w:space="0"/>
            </w:tcBorders>
            <w:shd w:val="clear" w:color="auto" w:fill="auto"/>
            <w:vAlign w:val="center"/>
          </w:tcPr>
          <w:p w14:paraId="06212E4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实现能源消耗与能源平衡状态的可视化分析，为能源优化运行和管理决策提供支撑。</w:t>
            </w:r>
          </w:p>
        </w:tc>
      </w:tr>
      <w:tr w14:paraId="501EA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5DF3AF9E">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709E0390">
            <w:pPr>
              <w:jc w:val="center"/>
              <w:rPr>
                <w:rFonts w:hint="eastAsia" w:ascii="宋体" w:hAnsi="宋体" w:eastAsia="宋体" w:cs="宋体"/>
                <w:i w:val="0"/>
                <w:iCs w:val="0"/>
                <w:color w:val="000000"/>
                <w:sz w:val="16"/>
                <w:szCs w:val="16"/>
                <w:highlight w:val="none"/>
                <w:u w:val="none"/>
              </w:rPr>
            </w:pPr>
          </w:p>
        </w:tc>
        <w:tc>
          <w:tcPr>
            <w:tcW w:w="3487" w:type="dxa"/>
            <w:vMerge w:val="continue"/>
            <w:tcBorders>
              <w:top w:val="nil"/>
              <w:left w:val="single" w:color="000000" w:sz="8" w:space="0"/>
              <w:bottom w:val="single" w:color="000000" w:sz="8" w:space="0"/>
              <w:right w:val="single" w:color="000000" w:sz="8" w:space="0"/>
            </w:tcBorders>
            <w:shd w:val="clear" w:color="auto" w:fill="auto"/>
            <w:vAlign w:val="center"/>
          </w:tcPr>
          <w:p w14:paraId="5B3F2602">
            <w:pPr>
              <w:jc w:val="center"/>
              <w:rPr>
                <w:rFonts w:hint="eastAsia" w:ascii="宋体" w:hAnsi="宋体" w:eastAsia="宋体" w:cs="宋体"/>
                <w:i w:val="0"/>
                <w:iCs w:val="0"/>
                <w:color w:val="000000"/>
                <w:sz w:val="16"/>
                <w:szCs w:val="16"/>
                <w:highlight w:val="none"/>
                <w:u w:val="none"/>
              </w:rPr>
            </w:pPr>
          </w:p>
        </w:tc>
        <w:tc>
          <w:tcPr>
            <w:tcW w:w="725" w:type="dxa"/>
            <w:vMerge w:val="continue"/>
            <w:tcBorders>
              <w:top w:val="nil"/>
              <w:left w:val="single" w:color="000000" w:sz="8" w:space="0"/>
              <w:bottom w:val="single" w:color="000000" w:sz="8" w:space="0"/>
              <w:right w:val="single" w:color="000000" w:sz="8" w:space="0"/>
            </w:tcBorders>
            <w:shd w:val="clear" w:color="auto" w:fill="auto"/>
            <w:vAlign w:val="center"/>
          </w:tcPr>
          <w:p w14:paraId="27BF58F0">
            <w:pPr>
              <w:jc w:val="center"/>
              <w:rPr>
                <w:rFonts w:hint="eastAsia" w:ascii="宋体" w:hAnsi="宋体" w:eastAsia="宋体" w:cs="宋体"/>
                <w:i w:val="0"/>
                <w:iCs w:val="0"/>
                <w:color w:val="000000"/>
                <w:sz w:val="16"/>
                <w:szCs w:val="16"/>
                <w:highlight w:val="none"/>
                <w:u w:val="none"/>
              </w:rPr>
            </w:pPr>
          </w:p>
        </w:tc>
        <w:tc>
          <w:tcPr>
            <w:tcW w:w="725" w:type="dxa"/>
            <w:vMerge w:val="continue"/>
            <w:tcBorders>
              <w:top w:val="nil"/>
              <w:left w:val="single" w:color="000000" w:sz="8" w:space="0"/>
              <w:bottom w:val="single" w:color="000000" w:sz="8" w:space="0"/>
              <w:right w:val="single" w:color="000000" w:sz="8" w:space="0"/>
            </w:tcBorders>
            <w:shd w:val="clear" w:color="auto" w:fill="auto"/>
            <w:vAlign w:val="center"/>
          </w:tcPr>
          <w:p w14:paraId="05674FF6">
            <w:pPr>
              <w:jc w:val="center"/>
              <w:rPr>
                <w:rFonts w:hint="eastAsia" w:ascii="宋体" w:hAnsi="宋体" w:eastAsia="宋体" w:cs="宋体"/>
                <w:i w:val="0"/>
                <w:iCs w:val="0"/>
                <w:color w:val="000000"/>
                <w:sz w:val="16"/>
                <w:szCs w:val="16"/>
                <w:highlight w:val="none"/>
                <w:u w:val="none"/>
              </w:rPr>
            </w:pPr>
          </w:p>
        </w:tc>
        <w:tc>
          <w:tcPr>
            <w:tcW w:w="838" w:type="dxa"/>
            <w:vMerge w:val="continue"/>
            <w:tcBorders>
              <w:top w:val="nil"/>
              <w:left w:val="single" w:color="000000" w:sz="8" w:space="0"/>
              <w:bottom w:val="single" w:color="000000" w:sz="8" w:space="0"/>
              <w:right w:val="single" w:color="000000" w:sz="8" w:space="0"/>
            </w:tcBorders>
            <w:shd w:val="clear" w:color="auto" w:fill="auto"/>
            <w:vAlign w:val="center"/>
          </w:tcPr>
          <w:p w14:paraId="509DFE6C">
            <w:pPr>
              <w:jc w:val="center"/>
              <w:rPr>
                <w:rFonts w:hint="eastAsia" w:ascii="宋体" w:hAnsi="宋体" w:eastAsia="宋体" w:cs="宋体"/>
                <w:i w:val="0"/>
                <w:iCs w:val="0"/>
                <w:color w:val="000000"/>
                <w:sz w:val="16"/>
                <w:szCs w:val="16"/>
                <w:highlight w:val="none"/>
                <w:u w:val="none"/>
              </w:rPr>
            </w:pPr>
          </w:p>
        </w:tc>
        <w:tc>
          <w:tcPr>
            <w:tcW w:w="1000" w:type="dxa"/>
            <w:vMerge w:val="continue"/>
            <w:tcBorders>
              <w:top w:val="nil"/>
              <w:left w:val="single" w:color="000000" w:sz="8" w:space="0"/>
              <w:bottom w:val="single" w:color="000000" w:sz="8" w:space="0"/>
              <w:right w:val="single" w:color="000000" w:sz="8" w:space="0"/>
            </w:tcBorders>
            <w:shd w:val="clear" w:color="auto" w:fill="auto"/>
            <w:vAlign w:val="center"/>
          </w:tcPr>
          <w:p w14:paraId="7E0CCC00">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7DE6D123">
            <w:pPr>
              <w:jc w:val="center"/>
              <w:rPr>
                <w:rFonts w:hint="eastAsia" w:ascii="宋体" w:hAnsi="宋体" w:eastAsia="宋体" w:cs="宋体"/>
                <w:i w:val="0"/>
                <w:iCs w:val="0"/>
                <w:color w:val="000000"/>
                <w:sz w:val="16"/>
                <w:szCs w:val="16"/>
                <w:highlight w:val="none"/>
                <w:u w:val="none"/>
              </w:rPr>
            </w:pPr>
          </w:p>
        </w:tc>
      </w:tr>
      <w:tr w14:paraId="287B4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0638D550">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34EF9A0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碳减排管理与核算分析</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34D6222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碳减排核算与减排贡献分析（基于方法学）：结合餐厨垃圾、厨余垃圾、废弃食用油脂等有机废弃物资源化处理业务特性，规划基于行业标准与方法学的碳减排核算体系，对项目在有机废弃物减量化、资源化、能源化利用过程中形成的碳减排量与减排贡献进行系统性测算、分析与展示。</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69E68F4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139760D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23050719">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23A22EAF">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57AE061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清晰量化项目在餐厨垃圾等有机废弃物资源化处理过程中的碳减排贡献，支撑双碳管理、政策合规及对外展示需求。</w:t>
            </w:r>
          </w:p>
        </w:tc>
      </w:tr>
      <w:tr w14:paraId="748C4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47A0E51E">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347F62D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安全与环保管理</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50A7237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规划 </w:t>
            </w:r>
            <w:r>
              <w:rPr>
                <w:rFonts w:hint="default" w:ascii="Calibri" w:hAnsi="Calibri" w:eastAsia="宋体" w:cs="Calibri"/>
                <w:i w:val="0"/>
                <w:iCs w:val="0"/>
                <w:color w:val="000000"/>
                <w:kern w:val="0"/>
                <w:sz w:val="16"/>
                <w:szCs w:val="16"/>
                <w:highlight w:val="none"/>
                <w:u w:val="none"/>
                <w:lang w:val="en-US" w:eastAsia="zh-CN" w:bidi="ar"/>
              </w:rPr>
              <w:t xml:space="preserve">AI </w:t>
            </w:r>
            <w:r>
              <w:rPr>
                <w:rFonts w:hint="eastAsia" w:ascii="宋体" w:hAnsi="宋体" w:eastAsia="宋体" w:cs="宋体"/>
                <w:i w:val="0"/>
                <w:iCs w:val="0"/>
                <w:color w:val="000000"/>
                <w:kern w:val="0"/>
                <w:sz w:val="16"/>
                <w:szCs w:val="16"/>
                <w:highlight w:val="none"/>
                <w:u w:val="none"/>
                <w:lang w:val="en-US" w:eastAsia="zh-CN" w:bidi="ar"/>
              </w:rPr>
              <w:t>视频、安全行为识别、三废（废水、废气、废渣）在线监测与预警的系统集成方案。</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692D139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40E8F95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0A2CD724">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447650DD">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66F5E95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安全与环保风险可控。</w:t>
            </w:r>
          </w:p>
        </w:tc>
      </w:tr>
      <w:tr w14:paraId="2796E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52BE9828">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5EB818A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智慧仓储</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376B340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设计备品备件与辅料的出入库、库存与成本可视化管理方案。</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2C35DC6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113D850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6405E9A1">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1EC84FB6">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01FC8F0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提升物资管理效率与成本意识。</w:t>
            </w:r>
          </w:p>
        </w:tc>
      </w:tr>
      <w:tr w14:paraId="60D4C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82" w:type="dxa"/>
            <w:vMerge w:val="restart"/>
            <w:tcBorders>
              <w:top w:val="nil"/>
              <w:left w:val="single" w:color="000000" w:sz="8" w:space="0"/>
              <w:bottom w:val="single" w:color="000000" w:sz="8" w:space="0"/>
              <w:right w:val="single" w:color="000000" w:sz="8" w:space="0"/>
            </w:tcBorders>
            <w:shd w:val="clear" w:color="auto" w:fill="auto"/>
            <w:vAlign w:val="center"/>
          </w:tcPr>
          <w:p w14:paraId="3DA4B19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六、智能优化与辅助决策</w:t>
            </w:r>
          </w:p>
        </w:tc>
        <w:tc>
          <w:tcPr>
            <w:tcW w:w="950" w:type="dxa"/>
            <w:vMerge w:val="restart"/>
            <w:tcBorders>
              <w:top w:val="nil"/>
              <w:left w:val="single" w:color="000000" w:sz="8" w:space="0"/>
              <w:bottom w:val="single" w:color="000000" w:sz="8" w:space="0"/>
              <w:right w:val="single" w:color="000000" w:sz="8" w:space="0"/>
            </w:tcBorders>
            <w:shd w:val="clear" w:color="auto" w:fill="auto"/>
            <w:vAlign w:val="center"/>
          </w:tcPr>
          <w:p w14:paraId="74817BE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工艺智能优化</w:t>
            </w:r>
          </w:p>
        </w:tc>
        <w:tc>
          <w:tcPr>
            <w:tcW w:w="3487" w:type="dxa"/>
            <w:tcBorders>
              <w:top w:val="nil"/>
              <w:left w:val="single" w:color="000000" w:sz="8" w:space="0"/>
              <w:bottom w:val="nil"/>
              <w:right w:val="single" w:color="000000" w:sz="8" w:space="0"/>
            </w:tcBorders>
            <w:shd w:val="clear" w:color="auto" w:fill="auto"/>
            <w:vAlign w:val="center"/>
          </w:tcPr>
          <w:p w14:paraId="32FDD97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从设计层面规划工艺参数分析、寻优与对标分析能力。</w:t>
            </w:r>
          </w:p>
        </w:tc>
        <w:tc>
          <w:tcPr>
            <w:tcW w:w="725" w:type="dxa"/>
            <w:tcBorders>
              <w:top w:val="nil"/>
              <w:left w:val="single" w:color="000000" w:sz="8" w:space="0"/>
              <w:bottom w:val="nil"/>
              <w:right w:val="single" w:color="000000" w:sz="8" w:space="0"/>
            </w:tcBorders>
            <w:shd w:val="clear" w:color="auto" w:fill="auto"/>
            <w:vAlign w:val="center"/>
          </w:tcPr>
          <w:p w14:paraId="43AF4328">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0F6601E9">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4DB51186">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083634A2">
            <w:pPr>
              <w:jc w:val="center"/>
              <w:rPr>
                <w:rFonts w:hint="eastAsia" w:ascii="宋体" w:hAnsi="宋体" w:eastAsia="宋体" w:cs="宋体"/>
                <w:i w:val="0"/>
                <w:iCs w:val="0"/>
                <w:color w:val="000000"/>
                <w:sz w:val="16"/>
                <w:szCs w:val="16"/>
                <w:highlight w:val="none"/>
                <w:u w:val="none"/>
              </w:rPr>
            </w:pPr>
          </w:p>
        </w:tc>
        <w:tc>
          <w:tcPr>
            <w:tcW w:w="1411" w:type="dxa"/>
            <w:vMerge w:val="restart"/>
            <w:tcBorders>
              <w:top w:val="nil"/>
              <w:left w:val="single" w:color="000000" w:sz="8" w:space="0"/>
              <w:bottom w:val="single" w:color="000000" w:sz="8" w:space="0"/>
              <w:right w:val="single" w:color="000000" w:sz="8" w:space="0"/>
            </w:tcBorders>
            <w:shd w:val="clear" w:color="auto" w:fill="auto"/>
            <w:vAlign w:val="center"/>
          </w:tcPr>
          <w:p w14:paraId="6F4C575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为运营优化提供决策支持。</w:t>
            </w:r>
          </w:p>
        </w:tc>
      </w:tr>
      <w:tr w14:paraId="338E0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71939EF9">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79CDD4C1">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1892EDD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 基于历史数据和算法模型，对关键工艺参数（如厌氧发酵温度、酶反应时间、提油率等）进行寻优，提供优化建议。</w:t>
            </w:r>
          </w:p>
        </w:tc>
        <w:tc>
          <w:tcPr>
            <w:tcW w:w="725" w:type="dxa"/>
            <w:tcBorders>
              <w:top w:val="nil"/>
              <w:left w:val="single" w:color="000000" w:sz="8" w:space="0"/>
              <w:bottom w:val="nil"/>
              <w:right w:val="single" w:color="000000" w:sz="8" w:space="0"/>
            </w:tcBorders>
            <w:shd w:val="clear" w:color="auto" w:fill="auto"/>
            <w:vAlign w:val="center"/>
          </w:tcPr>
          <w:p w14:paraId="6BF8573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nil"/>
              <w:right w:val="single" w:color="000000" w:sz="8" w:space="0"/>
            </w:tcBorders>
            <w:shd w:val="clear" w:color="auto" w:fill="auto"/>
            <w:vAlign w:val="center"/>
          </w:tcPr>
          <w:p w14:paraId="65CEF31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nil"/>
              <w:right w:val="single" w:color="000000" w:sz="8" w:space="0"/>
            </w:tcBorders>
            <w:shd w:val="clear" w:color="auto" w:fill="auto"/>
            <w:vAlign w:val="center"/>
          </w:tcPr>
          <w:p w14:paraId="4504D8D6">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7E032551">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3E82C43F">
            <w:pPr>
              <w:jc w:val="center"/>
              <w:rPr>
                <w:rFonts w:hint="eastAsia" w:ascii="宋体" w:hAnsi="宋体" w:eastAsia="宋体" w:cs="宋体"/>
                <w:i w:val="0"/>
                <w:iCs w:val="0"/>
                <w:color w:val="000000"/>
                <w:sz w:val="16"/>
                <w:szCs w:val="16"/>
                <w:highlight w:val="none"/>
                <w:u w:val="none"/>
              </w:rPr>
            </w:pPr>
          </w:p>
        </w:tc>
      </w:tr>
      <w:tr w14:paraId="5A3FB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4328E344">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6E30B2D9">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2A62C65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 建立智能分析系统，对生产过程中的异常（如螺旋机卡塞、浆料温度异常）进行自动识别、报警，并提供处理预案。</w:t>
            </w:r>
          </w:p>
        </w:tc>
        <w:tc>
          <w:tcPr>
            <w:tcW w:w="725" w:type="dxa"/>
            <w:tcBorders>
              <w:top w:val="nil"/>
              <w:left w:val="single" w:color="000000" w:sz="8" w:space="0"/>
              <w:bottom w:val="nil"/>
              <w:right w:val="single" w:color="000000" w:sz="8" w:space="0"/>
            </w:tcBorders>
            <w:shd w:val="clear" w:color="auto" w:fill="auto"/>
            <w:vAlign w:val="center"/>
          </w:tcPr>
          <w:p w14:paraId="2A8CB455">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2D60C3CA">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22EEC4CF">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4EBDFAC9">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3761F961">
            <w:pPr>
              <w:jc w:val="center"/>
              <w:rPr>
                <w:rFonts w:hint="eastAsia" w:ascii="宋体" w:hAnsi="宋体" w:eastAsia="宋体" w:cs="宋体"/>
                <w:i w:val="0"/>
                <w:iCs w:val="0"/>
                <w:color w:val="000000"/>
                <w:sz w:val="16"/>
                <w:szCs w:val="16"/>
                <w:highlight w:val="none"/>
                <w:u w:val="none"/>
              </w:rPr>
            </w:pPr>
          </w:p>
        </w:tc>
      </w:tr>
      <w:tr w14:paraId="2764A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7E1656F3">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2D12E064">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2E26EA35">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single" w:color="000000" w:sz="8" w:space="0"/>
              <w:right w:val="single" w:color="000000" w:sz="8" w:space="0"/>
            </w:tcBorders>
            <w:shd w:val="clear" w:color="auto" w:fill="auto"/>
            <w:vAlign w:val="center"/>
          </w:tcPr>
          <w:p w14:paraId="0310643F">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single" w:color="000000" w:sz="8" w:space="0"/>
              <w:right w:val="single" w:color="000000" w:sz="8" w:space="0"/>
            </w:tcBorders>
            <w:shd w:val="clear" w:color="auto" w:fill="auto"/>
            <w:vAlign w:val="center"/>
          </w:tcPr>
          <w:p w14:paraId="7C6A9B7F">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single" w:color="000000" w:sz="8" w:space="0"/>
              <w:right w:val="single" w:color="000000" w:sz="8" w:space="0"/>
            </w:tcBorders>
            <w:shd w:val="clear" w:color="auto" w:fill="auto"/>
            <w:vAlign w:val="center"/>
          </w:tcPr>
          <w:p w14:paraId="77DDA8EC">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5D351BAE">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6A5AECFE">
            <w:pPr>
              <w:jc w:val="center"/>
              <w:rPr>
                <w:rFonts w:hint="eastAsia" w:ascii="宋体" w:hAnsi="宋体" w:eastAsia="宋体" w:cs="宋体"/>
                <w:i w:val="0"/>
                <w:iCs w:val="0"/>
                <w:color w:val="000000"/>
                <w:sz w:val="16"/>
                <w:szCs w:val="16"/>
                <w:highlight w:val="none"/>
                <w:u w:val="none"/>
              </w:rPr>
            </w:pPr>
          </w:p>
        </w:tc>
      </w:tr>
      <w:tr w14:paraId="37DB4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3FC4179C">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6DB0989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智能问答与知识辅助</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5999A50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规划基于企业私域知识库的智能问答系统，用于工艺知识查询、设备故障诊断辅助、安全规程智能检索等场景，提升一线人员知识获取效率与决策准确性。</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6D91B09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33A208F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2873CD56">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36601433">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08B1F33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提升员工的快速上岗、知识获取效率</w:t>
            </w:r>
          </w:p>
        </w:tc>
      </w:tr>
      <w:tr w14:paraId="1872E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35770F27">
            <w:pPr>
              <w:jc w:val="center"/>
              <w:rPr>
                <w:rFonts w:hint="eastAsia" w:ascii="宋体" w:hAnsi="宋体" w:eastAsia="宋体" w:cs="宋体"/>
                <w:i w:val="0"/>
                <w:iCs w:val="0"/>
                <w:color w:val="000000"/>
                <w:sz w:val="16"/>
                <w:szCs w:val="16"/>
                <w:highlight w:val="none"/>
                <w:u w:val="none"/>
              </w:rPr>
            </w:pPr>
          </w:p>
        </w:tc>
        <w:tc>
          <w:tcPr>
            <w:tcW w:w="950" w:type="dxa"/>
            <w:vMerge w:val="restart"/>
            <w:tcBorders>
              <w:top w:val="nil"/>
              <w:left w:val="single" w:color="000000" w:sz="8" w:space="0"/>
              <w:bottom w:val="single" w:color="000000" w:sz="8" w:space="0"/>
              <w:right w:val="single" w:color="000000" w:sz="8" w:space="0"/>
            </w:tcBorders>
            <w:shd w:val="clear" w:color="auto" w:fill="auto"/>
            <w:vAlign w:val="center"/>
          </w:tcPr>
          <w:p w14:paraId="2D807E0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无人化作业</w:t>
            </w:r>
          </w:p>
        </w:tc>
        <w:tc>
          <w:tcPr>
            <w:tcW w:w="3487" w:type="dxa"/>
            <w:tcBorders>
              <w:top w:val="nil"/>
              <w:left w:val="single" w:color="000000" w:sz="8" w:space="0"/>
              <w:bottom w:val="nil"/>
              <w:right w:val="single" w:color="000000" w:sz="8" w:space="0"/>
            </w:tcBorders>
            <w:shd w:val="clear" w:color="auto" w:fill="auto"/>
            <w:vAlign w:val="center"/>
          </w:tcPr>
          <w:p w14:paraId="05F1E83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规划巡检机器人、卸料引导等无人化作业的整体架构与接入方式。</w:t>
            </w:r>
          </w:p>
        </w:tc>
        <w:tc>
          <w:tcPr>
            <w:tcW w:w="725" w:type="dxa"/>
            <w:tcBorders>
              <w:top w:val="nil"/>
              <w:left w:val="single" w:color="000000" w:sz="8" w:space="0"/>
              <w:bottom w:val="nil"/>
              <w:right w:val="single" w:color="000000" w:sz="8" w:space="0"/>
            </w:tcBorders>
            <w:shd w:val="clear" w:color="auto" w:fill="auto"/>
            <w:vAlign w:val="center"/>
          </w:tcPr>
          <w:p w14:paraId="32272A8C">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383854B7">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1B2F5030">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256442DC">
            <w:pPr>
              <w:jc w:val="center"/>
              <w:rPr>
                <w:rFonts w:hint="eastAsia" w:ascii="宋体" w:hAnsi="宋体" w:eastAsia="宋体" w:cs="宋体"/>
                <w:i w:val="0"/>
                <w:iCs w:val="0"/>
                <w:color w:val="000000"/>
                <w:sz w:val="16"/>
                <w:szCs w:val="16"/>
                <w:highlight w:val="none"/>
                <w:u w:val="none"/>
              </w:rPr>
            </w:pPr>
          </w:p>
        </w:tc>
        <w:tc>
          <w:tcPr>
            <w:tcW w:w="1411" w:type="dxa"/>
            <w:vMerge w:val="restart"/>
            <w:tcBorders>
              <w:top w:val="nil"/>
              <w:left w:val="single" w:color="000000" w:sz="8" w:space="0"/>
              <w:bottom w:val="single" w:color="000000" w:sz="8" w:space="0"/>
              <w:right w:val="single" w:color="000000" w:sz="8" w:space="0"/>
            </w:tcBorders>
            <w:shd w:val="clear" w:color="auto" w:fill="auto"/>
            <w:vAlign w:val="center"/>
          </w:tcPr>
          <w:p w14:paraId="36A1BE2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提升自动化与安全水平。</w:t>
            </w:r>
          </w:p>
        </w:tc>
      </w:tr>
      <w:tr w14:paraId="32D25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4D927CC9">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06D4DA55">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136CA66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典型应用场景示例如下（不限于）：</w:t>
            </w:r>
          </w:p>
        </w:tc>
        <w:tc>
          <w:tcPr>
            <w:tcW w:w="725" w:type="dxa"/>
            <w:tcBorders>
              <w:top w:val="nil"/>
              <w:left w:val="single" w:color="000000" w:sz="8" w:space="0"/>
              <w:bottom w:val="nil"/>
              <w:right w:val="single" w:color="000000" w:sz="8" w:space="0"/>
            </w:tcBorders>
            <w:shd w:val="clear" w:color="auto" w:fill="auto"/>
            <w:vAlign w:val="center"/>
          </w:tcPr>
          <w:p w14:paraId="7F9005BA">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7F5EE429">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3CE4D412">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5E608CDC">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104C0C5A">
            <w:pPr>
              <w:jc w:val="center"/>
              <w:rPr>
                <w:rFonts w:hint="eastAsia" w:ascii="宋体" w:hAnsi="宋体" w:eastAsia="宋体" w:cs="宋体"/>
                <w:i w:val="0"/>
                <w:iCs w:val="0"/>
                <w:color w:val="000000"/>
                <w:sz w:val="16"/>
                <w:szCs w:val="16"/>
                <w:highlight w:val="none"/>
                <w:u w:val="none"/>
              </w:rPr>
            </w:pPr>
          </w:p>
        </w:tc>
      </w:tr>
      <w:tr w14:paraId="2A3B0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313B2DE7">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6B0E5B4C">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6CD25E2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 机器巡检：在生产车间、厌氧罐顶等区域设置轨道，部署巡检机器人，搭载高清摄像、红外热成像、有毒气体检测等传感器，实现无人化巡检。</w:t>
            </w:r>
          </w:p>
        </w:tc>
        <w:tc>
          <w:tcPr>
            <w:tcW w:w="725" w:type="dxa"/>
            <w:tcBorders>
              <w:top w:val="nil"/>
              <w:left w:val="single" w:color="000000" w:sz="8" w:space="0"/>
              <w:bottom w:val="nil"/>
              <w:right w:val="single" w:color="000000" w:sz="8" w:space="0"/>
            </w:tcBorders>
            <w:shd w:val="clear" w:color="auto" w:fill="auto"/>
            <w:vAlign w:val="center"/>
          </w:tcPr>
          <w:p w14:paraId="57C1DA4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nil"/>
              <w:right w:val="single" w:color="000000" w:sz="8" w:space="0"/>
            </w:tcBorders>
            <w:shd w:val="clear" w:color="auto" w:fill="auto"/>
            <w:vAlign w:val="center"/>
          </w:tcPr>
          <w:p w14:paraId="56520A9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nil"/>
              <w:right w:val="single" w:color="000000" w:sz="8" w:space="0"/>
            </w:tcBorders>
            <w:shd w:val="clear" w:color="auto" w:fill="auto"/>
            <w:vAlign w:val="center"/>
          </w:tcPr>
          <w:p w14:paraId="58889A9D">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6CF18FD6">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54FEB5A5">
            <w:pPr>
              <w:jc w:val="center"/>
              <w:rPr>
                <w:rFonts w:hint="eastAsia" w:ascii="宋体" w:hAnsi="宋体" w:eastAsia="宋体" w:cs="宋体"/>
                <w:i w:val="0"/>
                <w:iCs w:val="0"/>
                <w:color w:val="000000"/>
                <w:sz w:val="16"/>
                <w:szCs w:val="16"/>
                <w:highlight w:val="none"/>
                <w:u w:val="none"/>
              </w:rPr>
            </w:pPr>
          </w:p>
        </w:tc>
      </w:tr>
      <w:tr w14:paraId="08C40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40BFFCFB">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48B80581">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5811265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 卸料大厅引导：配置引导机器人，对来料车辆进行卸料位置引导、车牌识别登记，并检查卸车流程。</w:t>
            </w:r>
          </w:p>
        </w:tc>
        <w:tc>
          <w:tcPr>
            <w:tcW w:w="725" w:type="dxa"/>
            <w:tcBorders>
              <w:top w:val="nil"/>
              <w:left w:val="single" w:color="000000" w:sz="8" w:space="0"/>
              <w:bottom w:val="nil"/>
              <w:right w:val="single" w:color="000000" w:sz="8" w:space="0"/>
            </w:tcBorders>
            <w:shd w:val="clear" w:color="auto" w:fill="auto"/>
            <w:vAlign w:val="center"/>
          </w:tcPr>
          <w:p w14:paraId="735E47F5">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7E1A467F">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3861AFE8">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0C99CE6B">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02446058">
            <w:pPr>
              <w:jc w:val="center"/>
              <w:rPr>
                <w:rFonts w:hint="eastAsia" w:ascii="宋体" w:hAnsi="宋体" w:eastAsia="宋体" w:cs="宋体"/>
                <w:i w:val="0"/>
                <w:iCs w:val="0"/>
                <w:color w:val="000000"/>
                <w:sz w:val="16"/>
                <w:szCs w:val="16"/>
                <w:highlight w:val="none"/>
                <w:u w:val="none"/>
              </w:rPr>
            </w:pPr>
          </w:p>
        </w:tc>
      </w:tr>
      <w:tr w14:paraId="23D28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4D5292C0">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45A14F94">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601C4B9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 无人驾驶：无人驾驶筛上物转运（园区内）、无人驾驶环境清洁车可行性应用场景研究。</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3CE21AFE">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single" w:color="000000" w:sz="8" w:space="0"/>
              <w:right w:val="single" w:color="000000" w:sz="8" w:space="0"/>
            </w:tcBorders>
            <w:shd w:val="clear" w:color="auto" w:fill="auto"/>
            <w:vAlign w:val="center"/>
          </w:tcPr>
          <w:p w14:paraId="07C9C2EE">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single" w:color="000000" w:sz="8" w:space="0"/>
              <w:right w:val="single" w:color="000000" w:sz="8" w:space="0"/>
            </w:tcBorders>
            <w:shd w:val="clear" w:color="auto" w:fill="auto"/>
            <w:vAlign w:val="center"/>
          </w:tcPr>
          <w:p w14:paraId="48F9F3F0">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4E50F889">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7C106E9A">
            <w:pPr>
              <w:jc w:val="center"/>
              <w:rPr>
                <w:rFonts w:hint="eastAsia" w:ascii="宋体" w:hAnsi="宋体" w:eastAsia="宋体" w:cs="宋体"/>
                <w:i w:val="0"/>
                <w:iCs w:val="0"/>
                <w:color w:val="000000"/>
                <w:sz w:val="16"/>
                <w:szCs w:val="16"/>
                <w:highlight w:val="none"/>
                <w:u w:val="none"/>
              </w:rPr>
            </w:pPr>
          </w:p>
        </w:tc>
      </w:tr>
      <w:tr w14:paraId="41941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5" w:hRule="atLeast"/>
        </w:trPr>
        <w:tc>
          <w:tcPr>
            <w:tcW w:w="582" w:type="dxa"/>
            <w:vMerge w:val="restart"/>
            <w:tcBorders>
              <w:top w:val="nil"/>
              <w:left w:val="single" w:color="000000" w:sz="8" w:space="0"/>
              <w:bottom w:val="single" w:color="000000" w:sz="8" w:space="0"/>
              <w:right w:val="single" w:color="000000" w:sz="8" w:space="0"/>
            </w:tcBorders>
            <w:shd w:val="clear" w:color="auto" w:fill="auto"/>
            <w:vAlign w:val="center"/>
          </w:tcPr>
          <w:p w14:paraId="1448C67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七、数字孪生与可视化</w:t>
            </w:r>
          </w:p>
        </w:tc>
        <w:tc>
          <w:tcPr>
            <w:tcW w:w="950" w:type="dxa"/>
            <w:tcBorders>
              <w:top w:val="nil"/>
              <w:left w:val="single" w:color="000000" w:sz="8" w:space="0"/>
              <w:bottom w:val="single" w:color="000000" w:sz="8" w:space="0"/>
              <w:right w:val="single" w:color="000000" w:sz="8" w:space="0"/>
            </w:tcBorders>
            <w:shd w:val="clear" w:color="auto" w:fill="auto"/>
            <w:vAlign w:val="center"/>
          </w:tcPr>
          <w:p w14:paraId="2E9BCA1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数字孪生工厂</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5B9AA55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从规划设计层面，构建覆盖园区级、车间级及核心工艺流程（餐厨垃圾处理、生物柴油酶法工艺、能源系统等）的三维数字孪生总体架构，明确三维模型、工艺流程、实时/准实时数据之间的映射关系与集成路径。数字孪生以“运行可感知、过程可呈现、状态可分析”为目标，重点用于运行监控、状态展示与管理分析，不作为现场控制系统的替代。</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1319140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698C818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64A2E859">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3F475727">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0C8651C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支撑生产运行状态的直观呈现（基于实时或准实时数据）、工艺流程的可视化展示、关键指标的空间化分析，为运行管理、分析研判及示范展示提供直观支撑。</w:t>
            </w:r>
          </w:p>
        </w:tc>
      </w:tr>
      <w:tr w14:paraId="32A4E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76FF6997">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37F6EDB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智能驾驶舱</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31EFFAE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规划工厂级智能驾驶舱的总体架构与指标体系，从管理视角集中展示生产、设备、能源、减碳贡献、安全与环保等核心 KPI 指标，支持结合AI算法对企业的各项指标进行自动聚合与下钻分析。驾驶舱重点体现管理决策所需的关键信息，并可随时通过智能决策系统进一步深挖、横向分析，可自主生成分析报告并对外展示。</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792F666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57DA47F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43026439">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460A957C">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333E461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管理层可在智能决策平台中快速掌握工厂整体运行态势，提升决策效率与管理透明度，并从智能辅助决策系统中得到相应的经营改善建议。</w:t>
            </w:r>
          </w:p>
        </w:tc>
      </w:tr>
      <w:tr w14:paraId="2D0BE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3E80B987">
            <w:pPr>
              <w:jc w:val="center"/>
              <w:rPr>
                <w:rFonts w:hint="eastAsia" w:ascii="宋体" w:hAnsi="宋体" w:eastAsia="宋体" w:cs="宋体"/>
                <w:i w:val="0"/>
                <w:iCs w:val="0"/>
                <w:color w:val="000000"/>
                <w:sz w:val="16"/>
                <w:szCs w:val="16"/>
                <w:highlight w:val="none"/>
                <w:u w:val="none"/>
              </w:rPr>
            </w:pPr>
          </w:p>
        </w:tc>
        <w:tc>
          <w:tcPr>
            <w:tcW w:w="950" w:type="dxa"/>
            <w:vMerge w:val="restart"/>
            <w:tcBorders>
              <w:top w:val="nil"/>
              <w:left w:val="single" w:color="000000" w:sz="8" w:space="0"/>
              <w:bottom w:val="single" w:color="000000" w:sz="8" w:space="0"/>
              <w:right w:val="single" w:color="000000" w:sz="8" w:space="0"/>
            </w:tcBorders>
            <w:shd w:val="clear" w:color="auto" w:fill="auto"/>
            <w:vAlign w:val="center"/>
          </w:tcPr>
          <w:p w14:paraId="5E46754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车间生产看板</w:t>
            </w:r>
          </w:p>
        </w:tc>
        <w:tc>
          <w:tcPr>
            <w:tcW w:w="3487" w:type="dxa"/>
            <w:vMerge w:val="restart"/>
            <w:tcBorders>
              <w:top w:val="nil"/>
              <w:left w:val="single" w:color="000000" w:sz="8" w:space="0"/>
              <w:bottom w:val="single" w:color="000000" w:sz="8" w:space="0"/>
              <w:right w:val="single" w:color="000000" w:sz="8" w:space="0"/>
            </w:tcBorders>
            <w:shd w:val="clear" w:color="auto" w:fill="auto"/>
            <w:vAlign w:val="center"/>
          </w:tcPr>
          <w:p w14:paraId="08320BE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规划面向生产现场的车间级信息展示方案，在生产车间、中控室等关键区域，通过电子看板展示生产指令、关键工艺参数、设备运行状态、安全环保指标、待办事项及预警信息。展示内容与频率根据现场管理需要进行分级设计。</w:t>
            </w:r>
          </w:p>
        </w:tc>
        <w:tc>
          <w:tcPr>
            <w:tcW w:w="725" w:type="dxa"/>
            <w:vMerge w:val="restart"/>
            <w:tcBorders>
              <w:top w:val="nil"/>
              <w:left w:val="single" w:color="000000" w:sz="8" w:space="0"/>
              <w:bottom w:val="single" w:color="000000" w:sz="8" w:space="0"/>
              <w:right w:val="single" w:color="000000" w:sz="8" w:space="0"/>
            </w:tcBorders>
            <w:shd w:val="clear" w:color="auto" w:fill="auto"/>
            <w:vAlign w:val="center"/>
          </w:tcPr>
          <w:p w14:paraId="1947055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vMerge w:val="restart"/>
            <w:tcBorders>
              <w:top w:val="nil"/>
              <w:left w:val="single" w:color="000000" w:sz="8" w:space="0"/>
              <w:bottom w:val="single" w:color="000000" w:sz="8" w:space="0"/>
              <w:right w:val="single" w:color="000000" w:sz="8" w:space="0"/>
            </w:tcBorders>
            <w:shd w:val="clear" w:color="auto" w:fill="auto"/>
            <w:vAlign w:val="center"/>
          </w:tcPr>
          <w:p w14:paraId="2628B99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vMerge w:val="restart"/>
            <w:tcBorders>
              <w:top w:val="nil"/>
              <w:left w:val="single" w:color="000000" w:sz="8" w:space="0"/>
              <w:bottom w:val="single" w:color="000000" w:sz="8" w:space="0"/>
              <w:right w:val="single" w:color="000000" w:sz="8" w:space="0"/>
            </w:tcBorders>
            <w:shd w:val="clear" w:color="auto" w:fill="auto"/>
            <w:vAlign w:val="center"/>
          </w:tcPr>
          <w:p w14:paraId="067EC191">
            <w:pPr>
              <w:jc w:val="center"/>
              <w:rPr>
                <w:rFonts w:hint="eastAsia" w:ascii="宋体" w:hAnsi="宋体" w:eastAsia="宋体" w:cs="宋体"/>
                <w:i w:val="0"/>
                <w:iCs w:val="0"/>
                <w:color w:val="000000"/>
                <w:sz w:val="16"/>
                <w:szCs w:val="16"/>
                <w:highlight w:val="none"/>
                <w:u w:val="none"/>
              </w:rPr>
            </w:pPr>
          </w:p>
        </w:tc>
        <w:tc>
          <w:tcPr>
            <w:tcW w:w="1000" w:type="dxa"/>
            <w:vMerge w:val="restart"/>
            <w:tcBorders>
              <w:top w:val="nil"/>
              <w:left w:val="single" w:color="000000" w:sz="8" w:space="0"/>
              <w:bottom w:val="single" w:color="000000" w:sz="8" w:space="0"/>
              <w:right w:val="single" w:color="000000" w:sz="8" w:space="0"/>
            </w:tcBorders>
            <w:shd w:val="clear" w:color="auto" w:fill="auto"/>
            <w:vAlign w:val="center"/>
          </w:tcPr>
          <w:p w14:paraId="29114478">
            <w:pPr>
              <w:jc w:val="center"/>
              <w:rPr>
                <w:rFonts w:hint="eastAsia" w:ascii="宋体" w:hAnsi="宋体" w:eastAsia="宋体" w:cs="宋体"/>
                <w:i w:val="0"/>
                <w:iCs w:val="0"/>
                <w:color w:val="000000"/>
                <w:sz w:val="16"/>
                <w:szCs w:val="16"/>
                <w:highlight w:val="none"/>
                <w:u w:val="none"/>
              </w:rPr>
            </w:pPr>
          </w:p>
        </w:tc>
        <w:tc>
          <w:tcPr>
            <w:tcW w:w="1411" w:type="dxa"/>
            <w:vMerge w:val="restart"/>
            <w:tcBorders>
              <w:top w:val="nil"/>
              <w:left w:val="single" w:color="000000" w:sz="8" w:space="0"/>
              <w:bottom w:val="single" w:color="000000" w:sz="8" w:space="0"/>
              <w:right w:val="single" w:color="000000" w:sz="8" w:space="0"/>
            </w:tcBorders>
            <w:shd w:val="clear" w:color="auto" w:fill="auto"/>
            <w:vAlign w:val="center"/>
          </w:tcPr>
          <w:p w14:paraId="236D6F1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提升生产现场信息透明度，增强一线人员对生产状态与风险的感知能力，辅助现场管理与协同。</w:t>
            </w:r>
          </w:p>
        </w:tc>
      </w:tr>
      <w:tr w14:paraId="3BDB4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09F1E4F5">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2F7DDF19">
            <w:pPr>
              <w:jc w:val="center"/>
              <w:rPr>
                <w:rFonts w:hint="eastAsia" w:ascii="宋体" w:hAnsi="宋体" w:eastAsia="宋体" w:cs="宋体"/>
                <w:i w:val="0"/>
                <w:iCs w:val="0"/>
                <w:color w:val="000000"/>
                <w:sz w:val="16"/>
                <w:szCs w:val="16"/>
                <w:highlight w:val="none"/>
                <w:u w:val="none"/>
              </w:rPr>
            </w:pPr>
          </w:p>
        </w:tc>
        <w:tc>
          <w:tcPr>
            <w:tcW w:w="3487" w:type="dxa"/>
            <w:vMerge w:val="continue"/>
            <w:tcBorders>
              <w:top w:val="nil"/>
              <w:left w:val="single" w:color="000000" w:sz="8" w:space="0"/>
              <w:bottom w:val="single" w:color="000000" w:sz="8" w:space="0"/>
              <w:right w:val="single" w:color="000000" w:sz="8" w:space="0"/>
            </w:tcBorders>
            <w:shd w:val="clear" w:color="auto" w:fill="auto"/>
            <w:vAlign w:val="center"/>
          </w:tcPr>
          <w:p w14:paraId="3384F09B">
            <w:pPr>
              <w:jc w:val="center"/>
              <w:rPr>
                <w:rFonts w:hint="eastAsia" w:ascii="宋体" w:hAnsi="宋体" w:eastAsia="宋体" w:cs="宋体"/>
                <w:i w:val="0"/>
                <w:iCs w:val="0"/>
                <w:color w:val="000000"/>
                <w:sz w:val="16"/>
                <w:szCs w:val="16"/>
                <w:highlight w:val="none"/>
                <w:u w:val="none"/>
              </w:rPr>
            </w:pPr>
          </w:p>
        </w:tc>
        <w:tc>
          <w:tcPr>
            <w:tcW w:w="725" w:type="dxa"/>
            <w:vMerge w:val="continue"/>
            <w:tcBorders>
              <w:top w:val="nil"/>
              <w:left w:val="single" w:color="000000" w:sz="8" w:space="0"/>
              <w:bottom w:val="single" w:color="000000" w:sz="8" w:space="0"/>
              <w:right w:val="single" w:color="000000" w:sz="8" w:space="0"/>
            </w:tcBorders>
            <w:shd w:val="clear" w:color="auto" w:fill="auto"/>
            <w:vAlign w:val="center"/>
          </w:tcPr>
          <w:p w14:paraId="6EC1F929">
            <w:pPr>
              <w:jc w:val="center"/>
              <w:rPr>
                <w:rFonts w:hint="eastAsia" w:ascii="宋体" w:hAnsi="宋体" w:eastAsia="宋体" w:cs="宋体"/>
                <w:i w:val="0"/>
                <w:iCs w:val="0"/>
                <w:color w:val="000000"/>
                <w:sz w:val="16"/>
                <w:szCs w:val="16"/>
                <w:highlight w:val="none"/>
                <w:u w:val="none"/>
              </w:rPr>
            </w:pPr>
          </w:p>
        </w:tc>
        <w:tc>
          <w:tcPr>
            <w:tcW w:w="725" w:type="dxa"/>
            <w:vMerge w:val="continue"/>
            <w:tcBorders>
              <w:top w:val="nil"/>
              <w:left w:val="single" w:color="000000" w:sz="8" w:space="0"/>
              <w:bottom w:val="single" w:color="000000" w:sz="8" w:space="0"/>
              <w:right w:val="single" w:color="000000" w:sz="8" w:space="0"/>
            </w:tcBorders>
            <w:shd w:val="clear" w:color="auto" w:fill="auto"/>
            <w:vAlign w:val="center"/>
          </w:tcPr>
          <w:p w14:paraId="6FEAAEFF">
            <w:pPr>
              <w:jc w:val="center"/>
              <w:rPr>
                <w:rFonts w:hint="eastAsia" w:ascii="宋体" w:hAnsi="宋体" w:eastAsia="宋体" w:cs="宋体"/>
                <w:i w:val="0"/>
                <w:iCs w:val="0"/>
                <w:color w:val="000000"/>
                <w:sz w:val="16"/>
                <w:szCs w:val="16"/>
                <w:highlight w:val="none"/>
                <w:u w:val="none"/>
              </w:rPr>
            </w:pPr>
          </w:p>
        </w:tc>
        <w:tc>
          <w:tcPr>
            <w:tcW w:w="838" w:type="dxa"/>
            <w:vMerge w:val="continue"/>
            <w:tcBorders>
              <w:top w:val="nil"/>
              <w:left w:val="single" w:color="000000" w:sz="8" w:space="0"/>
              <w:bottom w:val="single" w:color="000000" w:sz="8" w:space="0"/>
              <w:right w:val="single" w:color="000000" w:sz="8" w:space="0"/>
            </w:tcBorders>
            <w:shd w:val="clear" w:color="auto" w:fill="auto"/>
            <w:vAlign w:val="center"/>
          </w:tcPr>
          <w:p w14:paraId="7F3B3599">
            <w:pPr>
              <w:jc w:val="center"/>
              <w:rPr>
                <w:rFonts w:hint="eastAsia" w:ascii="宋体" w:hAnsi="宋体" w:eastAsia="宋体" w:cs="宋体"/>
                <w:i w:val="0"/>
                <w:iCs w:val="0"/>
                <w:color w:val="000000"/>
                <w:sz w:val="16"/>
                <w:szCs w:val="16"/>
                <w:highlight w:val="none"/>
                <w:u w:val="none"/>
              </w:rPr>
            </w:pPr>
          </w:p>
        </w:tc>
        <w:tc>
          <w:tcPr>
            <w:tcW w:w="1000" w:type="dxa"/>
            <w:vMerge w:val="continue"/>
            <w:tcBorders>
              <w:top w:val="nil"/>
              <w:left w:val="single" w:color="000000" w:sz="8" w:space="0"/>
              <w:bottom w:val="single" w:color="000000" w:sz="8" w:space="0"/>
              <w:right w:val="single" w:color="000000" w:sz="8" w:space="0"/>
            </w:tcBorders>
            <w:shd w:val="clear" w:color="auto" w:fill="auto"/>
            <w:vAlign w:val="center"/>
          </w:tcPr>
          <w:p w14:paraId="773EF603">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7C2C6A98">
            <w:pPr>
              <w:jc w:val="center"/>
              <w:rPr>
                <w:rFonts w:hint="eastAsia" w:ascii="宋体" w:hAnsi="宋体" w:eastAsia="宋体" w:cs="宋体"/>
                <w:i w:val="0"/>
                <w:iCs w:val="0"/>
                <w:color w:val="000000"/>
                <w:sz w:val="16"/>
                <w:szCs w:val="16"/>
                <w:highlight w:val="none"/>
                <w:u w:val="none"/>
              </w:rPr>
            </w:pPr>
          </w:p>
        </w:tc>
      </w:tr>
      <w:tr w14:paraId="21B13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82" w:type="dxa"/>
            <w:vMerge w:val="restart"/>
            <w:tcBorders>
              <w:top w:val="nil"/>
              <w:left w:val="single" w:color="000000" w:sz="8" w:space="0"/>
              <w:bottom w:val="single" w:color="000000" w:sz="8" w:space="0"/>
              <w:right w:val="single" w:color="000000" w:sz="8" w:space="0"/>
            </w:tcBorders>
            <w:shd w:val="clear" w:color="auto" w:fill="auto"/>
            <w:vAlign w:val="center"/>
          </w:tcPr>
          <w:p w14:paraId="338256B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八、平台与基础设施</w:t>
            </w:r>
          </w:p>
        </w:tc>
        <w:tc>
          <w:tcPr>
            <w:tcW w:w="950" w:type="dxa"/>
            <w:vMerge w:val="restart"/>
            <w:tcBorders>
              <w:top w:val="nil"/>
              <w:left w:val="single" w:color="000000" w:sz="8" w:space="0"/>
              <w:bottom w:val="single" w:color="000000" w:sz="8" w:space="0"/>
              <w:right w:val="single" w:color="000000" w:sz="8" w:space="0"/>
            </w:tcBorders>
            <w:shd w:val="clear" w:color="auto" w:fill="auto"/>
            <w:vAlign w:val="center"/>
          </w:tcPr>
          <w:p w14:paraId="7A1F6C0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工业互联网平台</w:t>
            </w:r>
          </w:p>
        </w:tc>
        <w:tc>
          <w:tcPr>
            <w:tcW w:w="3487" w:type="dxa"/>
            <w:vMerge w:val="restart"/>
            <w:tcBorders>
              <w:top w:val="nil"/>
              <w:left w:val="single" w:color="000000" w:sz="8" w:space="0"/>
              <w:bottom w:val="single" w:color="000000" w:sz="8" w:space="0"/>
              <w:right w:val="single" w:color="000000" w:sz="8" w:space="0"/>
            </w:tcBorders>
            <w:shd w:val="clear" w:color="auto" w:fill="auto"/>
            <w:vAlign w:val="center"/>
          </w:tcPr>
          <w:p w14:paraId="46247F8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 规划一个统一的工业互联网平台作为数智化系统的底座，承载各类工业应用与数据服务。</w:t>
            </w:r>
          </w:p>
        </w:tc>
        <w:tc>
          <w:tcPr>
            <w:tcW w:w="725" w:type="dxa"/>
            <w:vMerge w:val="restart"/>
            <w:tcBorders>
              <w:top w:val="nil"/>
              <w:left w:val="single" w:color="000000" w:sz="8" w:space="0"/>
              <w:bottom w:val="single" w:color="000000" w:sz="8" w:space="0"/>
              <w:right w:val="single" w:color="000000" w:sz="8" w:space="0"/>
            </w:tcBorders>
            <w:shd w:val="clear" w:color="auto" w:fill="auto"/>
            <w:vAlign w:val="center"/>
          </w:tcPr>
          <w:p w14:paraId="04C6AD8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vMerge w:val="restart"/>
            <w:tcBorders>
              <w:top w:val="nil"/>
              <w:left w:val="single" w:color="000000" w:sz="8" w:space="0"/>
              <w:bottom w:val="single" w:color="000000" w:sz="8" w:space="0"/>
              <w:right w:val="single" w:color="000000" w:sz="8" w:space="0"/>
            </w:tcBorders>
            <w:shd w:val="clear" w:color="auto" w:fill="auto"/>
            <w:vAlign w:val="center"/>
          </w:tcPr>
          <w:p w14:paraId="134D022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vMerge w:val="restart"/>
            <w:tcBorders>
              <w:top w:val="nil"/>
              <w:left w:val="single" w:color="000000" w:sz="8" w:space="0"/>
              <w:bottom w:val="single" w:color="000000" w:sz="8" w:space="0"/>
              <w:right w:val="single" w:color="000000" w:sz="8" w:space="0"/>
            </w:tcBorders>
            <w:shd w:val="clear" w:color="auto" w:fill="auto"/>
            <w:vAlign w:val="center"/>
          </w:tcPr>
          <w:p w14:paraId="1ED4B8BE">
            <w:pPr>
              <w:jc w:val="center"/>
              <w:rPr>
                <w:rFonts w:hint="eastAsia" w:ascii="宋体" w:hAnsi="宋体" w:eastAsia="宋体" w:cs="宋体"/>
                <w:i w:val="0"/>
                <w:iCs w:val="0"/>
                <w:color w:val="000000"/>
                <w:sz w:val="16"/>
                <w:szCs w:val="16"/>
                <w:highlight w:val="none"/>
                <w:u w:val="none"/>
              </w:rPr>
            </w:pPr>
          </w:p>
        </w:tc>
        <w:tc>
          <w:tcPr>
            <w:tcW w:w="1000" w:type="dxa"/>
            <w:vMerge w:val="restart"/>
            <w:tcBorders>
              <w:top w:val="nil"/>
              <w:left w:val="single" w:color="000000" w:sz="8" w:space="0"/>
              <w:bottom w:val="single" w:color="000000" w:sz="8" w:space="0"/>
              <w:right w:val="single" w:color="000000" w:sz="8" w:space="0"/>
            </w:tcBorders>
            <w:shd w:val="clear" w:color="auto" w:fill="auto"/>
            <w:vAlign w:val="center"/>
          </w:tcPr>
          <w:p w14:paraId="796F3EA0">
            <w:pPr>
              <w:jc w:val="center"/>
              <w:rPr>
                <w:rFonts w:hint="eastAsia" w:ascii="宋体" w:hAnsi="宋体" w:eastAsia="宋体" w:cs="宋体"/>
                <w:i w:val="0"/>
                <w:iCs w:val="0"/>
                <w:color w:val="000000"/>
                <w:sz w:val="16"/>
                <w:szCs w:val="16"/>
                <w:highlight w:val="none"/>
                <w:u w:val="none"/>
              </w:rPr>
            </w:pPr>
          </w:p>
        </w:tc>
        <w:tc>
          <w:tcPr>
            <w:tcW w:w="1411" w:type="dxa"/>
            <w:vMerge w:val="restart"/>
            <w:tcBorders>
              <w:top w:val="nil"/>
              <w:left w:val="single" w:color="000000" w:sz="8" w:space="0"/>
              <w:bottom w:val="single" w:color="000000" w:sz="8" w:space="0"/>
              <w:right w:val="single" w:color="000000" w:sz="8" w:space="0"/>
            </w:tcBorders>
            <w:shd w:val="clear" w:color="auto" w:fill="auto"/>
            <w:vAlign w:val="center"/>
          </w:tcPr>
          <w:p w14:paraId="792A555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平台统一、能力可扩展。</w:t>
            </w:r>
          </w:p>
        </w:tc>
      </w:tr>
      <w:tr w14:paraId="34C88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1DB25D04">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523E943B">
            <w:pPr>
              <w:jc w:val="center"/>
              <w:rPr>
                <w:rFonts w:hint="eastAsia" w:ascii="宋体" w:hAnsi="宋体" w:eastAsia="宋体" w:cs="宋体"/>
                <w:i w:val="0"/>
                <w:iCs w:val="0"/>
                <w:color w:val="000000"/>
                <w:sz w:val="16"/>
                <w:szCs w:val="16"/>
                <w:highlight w:val="none"/>
                <w:u w:val="none"/>
              </w:rPr>
            </w:pPr>
          </w:p>
        </w:tc>
        <w:tc>
          <w:tcPr>
            <w:tcW w:w="3487" w:type="dxa"/>
            <w:vMerge w:val="continue"/>
            <w:tcBorders>
              <w:top w:val="nil"/>
              <w:left w:val="single" w:color="000000" w:sz="8" w:space="0"/>
              <w:bottom w:val="single" w:color="000000" w:sz="8" w:space="0"/>
              <w:right w:val="single" w:color="000000" w:sz="8" w:space="0"/>
            </w:tcBorders>
            <w:shd w:val="clear" w:color="auto" w:fill="auto"/>
            <w:vAlign w:val="center"/>
          </w:tcPr>
          <w:p w14:paraId="405FB7CD">
            <w:pPr>
              <w:jc w:val="center"/>
              <w:rPr>
                <w:rFonts w:hint="eastAsia" w:ascii="宋体" w:hAnsi="宋体" w:eastAsia="宋体" w:cs="宋体"/>
                <w:i w:val="0"/>
                <w:iCs w:val="0"/>
                <w:color w:val="000000"/>
                <w:sz w:val="16"/>
                <w:szCs w:val="16"/>
                <w:highlight w:val="none"/>
                <w:u w:val="none"/>
              </w:rPr>
            </w:pPr>
          </w:p>
        </w:tc>
        <w:tc>
          <w:tcPr>
            <w:tcW w:w="725" w:type="dxa"/>
            <w:vMerge w:val="continue"/>
            <w:tcBorders>
              <w:top w:val="nil"/>
              <w:left w:val="single" w:color="000000" w:sz="8" w:space="0"/>
              <w:bottom w:val="single" w:color="000000" w:sz="8" w:space="0"/>
              <w:right w:val="single" w:color="000000" w:sz="8" w:space="0"/>
            </w:tcBorders>
            <w:shd w:val="clear" w:color="auto" w:fill="auto"/>
            <w:vAlign w:val="center"/>
          </w:tcPr>
          <w:p w14:paraId="60F91199">
            <w:pPr>
              <w:jc w:val="center"/>
              <w:rPr>
                <w:rFonts w:hint="eastAsia" w:ascii="宋体" w:hAnsi="宋体" w:eastAsia="宋体" w:cs="宋体"/>
                <w:i w:val="0"/>
                <w:iCs w:val="0"/>
                <w:color w:val="000000"/>
                <w:sz w:val="16"/>
                <w:szCs w:val="16"/>
                <w:highlight w:val="none"/>
                <w:u w:val="none"/>
              </w:rPr>
            </w:pPr>
          </w:p>
        </w:tc>
        <w:tc>
          <w:tcPr>
            <w:tcW w:w="725" w:type="dxa"/>
            <w:vMerge w:val="continue"/>
            <w:tcBorders>
              <w:top w:val="nil"/>
              <w:left w:val="single" w:color="000000" w:sz="8" w:space="0"/>
              <w:bottom w:val="single" w:color="000000" w:sz="8" w:space="0"/>
              <w:right w:val="single" w:color="000000" w:sz="8" w:space="0"/>
            </w:tcBorders>
            <w:shd w:val="clear" w:color="auto" w:fill="auto"/>
            <w:vAlign w:val="center"/>
          </w:tcPr>
          <w:p w14:paraId="786764BA">
            <w:pPr>
              <w:jc w:val="center"/>
              <w:rPr>
                <w:rFonts w:hint="eastAsia" w:ascii="宋体" w:hAnsi="宋体" w:eastAsia="宋体" w:cs="宋体"/>
                <w:i w:val="0"/>
                <w:iCs w:val="0"/>
                <w:color w:val="000000"/>
                <w:sz w:val="16"/>
                <w:szCs w:val="16"/>
                <w:highlight w:val="none"/>
                <w:u w:val="none"/>
              </w:rPr>
            </w:pPr>
          </w:p>
        </w:tc>
        <w:tc>
          <w:tcPr>
            <w:tcW w:w="838" w:type="dxa"/>
            <w:vMerge w:val="continue"/>
            <w:tcBorders>
              <w:top w:val="nil"/>
              <w:left w:val="single" w:color="000000" w:sz="8" w:space="0"/>
              <w:bottom w:val="single" w:color="000000" w:sz="8" w:space="0"/>
              <w:right w:val="single" w:color="000000" w:sz="8" w:space="0"/>
            </w:tcBorders>
            <w:shd w:val="clear" w:color="auto" w:fill="auto"/>
            <w:vAlign w:val="center"/>
          </w:tcPr>
          <w:p w14:paraId="535C00C6">
            <w:pPr>
              <w:jc w:val="center"/>
              <w:rPr>
                <w:rFonts w:hint="eastAsia" w:ascii="宋体" w:hAnsi="宋体" w:eastAsia="宋体" w:cs="宋体"/>
                <w:i w:val="0"/>
                <w:iCs w:val="0"/>
                <w:color w:val="000000"/>
                <w:sz w:val="16"/>
                <w:szCs w:val="16"/>
                <w:highlight w:val="none"/>
                <w:u w:val="none"/>
              </w:rPr>
            </w:pPr>
          </w:p>
        </w:tc>
        <w:tc>
          <w:tcPr>
            <w:tcW w:w="1000" w:type="dxa"/>
            <w:vMerge w:val="continue"/>
            <w:tcBorders>
              <w:top w:val="nil"/>
              <w:left w:val="single" w:color="000000" w:sz="8" w:space="0"/>
              <w:bottom w:val="single" w:color="000000" w:sz="8" w:space="0"/>
              <w:right w:val="single" w:color="000000" w:sz="8" w:space="0"/>
            </w:tcBorders>
            <w:shd w:val="clear" w:color="auto" w:fill="auto"/>
            <w:vAlign w:val="center"/>
          </w:tcPr>
          <w:p w14:paraId="6B42FD8A">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5E430329">
            <w:pPr>
              <w:jc w:val="center"/>
              <w:rPr>
                <w:rFonts w:hint="eastAsia" w:ascii="宋体" w:hAnsi="宋体" w:eastAsia="宋体" w:cs="宋体"/>
                <w:i w:val="0"/>
                <w:iCs w:val="0"/>
                <w:color w:val="000000"/>
                <w:sz w:val="16"/>
                <w:szCs w:val="16"/>
                <w:highlight w:val="none"/>
                <w:u w:val="none"/>
              </w:rPr>
            </w:pPr>
          </w:p>
        </w:tc>
      </w:tr>
      <w:tr w14:paraId="4709A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4C1D7561">
            <w:pPr>
              <w:jc w:val="center"/>
              <w:rPr>
                <w:rFonts w:hint="eastAsia" w:ascii="宋体" w:hAnsi="宋体" w:eastAsia="宋体" w:cs="宋体"/>
                <w:i w:val="0"/>
                <w:iCs w:val="0"/>
                <w:color w:val="000000"/>
                <w:sz w:val="16"/>
                <w:szCs w:val="16"/>
                <w:highlight w:val="none"/>
                <w:u w:val="none"/>
              </w:rPr>
            </w:pPr>
          </w:p>
        </w:tc>
        <w:tc>
          <w:tcPr>
            <w:tcW w:w="950" w:type="dxa"/>
            <w:tcBorders>
              <w:top w:val="nil"/>
              <w:left w:val="single" w:color="000000" w:sz="8" w:space="0"/>
              <w:bottom w:val="single" w:color="000000" w:sz="8" w:space="0"/>
              <w:right w:val="single" w:color="000000" w:sz="8" w:space="0"/>
            </w:tcBorders>
            <w:shd w:val="clear" w:color="auto" w:fill="auto"/>
            <w:vAlign w:val="center"/>
          </w:tcPr>
          <w:p w14:paraId="65734CF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系统集成与平台能力</w:t>
            </w: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45B87DE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设计低代码、系统集成（ERP、EAM、OA、收运系统、钉钉等）、统一身份认证、工作流与消息中心等平台能力。</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0DE5B56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4114658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single" w:color="000000" w:sz="8" w:space="0"/>
              <w:right w:val="single" w:color="000000" w:sz="8" w:space="0"/>
            </w:tcBorders>
            <w:shd w:val="clear" w:color="auto" w:fill="auto"/>
            <w:vAlign w:val="center"/>
          </w:tcPr>
          <w:p w14:paraId="0033BA49">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458D5197">
            <w:pPr>
              <w:jc w:val="center"/>
              <w:rPr>
                <w:rFonts w:hint="eastAsia" w:ascii="宋体" w:hAnsi="宋体" w:eastAsia="宋体" w:cs="宋体"/>
                <w:i w:val="0"/>
                <w:iCs w:val="0"/>
                <w:color w:val="000000"/>
                <w:sz w:val="16"/>
                <w:szCs w:val="16"/>
                <w:highlight w:val="none"/>
                <w:u w:val="none"/>
              </w:rPr>
            </w:pPr>
          </w:p>
        </w:tc>
        <w:tc>
          <w:tcPr>
            <w:tcW w:w="1411" w:type="dxa"/>
            <w:tcBorders>
              <w:top w:val="nil"/>
              <w:left w:val="single" w:color="000000" w:sz="8" w:space="0"/>
              <w:bottom w:val="single" w:color="000000" w:sz="8" w:space="0"/>
              <w:right w:val="single" w:color="000000" w:sz="8" w:space="0"/>
            </w:tcBorders>
            <w:shd w:val="clear" w:color="auto" w:fill="auto"/>
            <w:vAlign w:val="center"/>
          </w:tcPr>
          <w:p w14:paraId="33A0E43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提升系统扩展性与运维效率。</w:t>
            </w:r>
          </w:p>
        </w:tc>
      </w:tr>
      <w:tr w14:paraId="46A46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582" w:type="dxa"/>
            <w:vMerge w:val="restart"/>
            <w:tcBorders>
              <w:top w:val="nil"/>
              <w:left w:val="single" w:color="000000" w:sz="8" w:space="0"/>
              <w:bottom w:val="single" w:color="000000" w:sz="8" w:space="0"/>
              <w:right w:val="single" w:color="000000" w:sz="8" w:space="0"/>
            </w:tcBorders>
            <w:shd w:val="clear" w:color="auto" w:fill="auto"/>
            <w:vAlign w:val="center"/>
          </w:tcPr>
          <w:p w14:paraId="27365A0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九、科普教育与机器人展示</w:t>
            </w:r>
          </w:p>
        </w:tc>
        <w:tc>
          <w:tcPr>
            <w:tcW w:w="950" w:type="dxa"/>
            <w:vMerge w:val="restart"/>
            <w:tcBorders>
              <w:top w:val="nil"/>
              <w:left w:val="single" w:color="000000" w:sz="8" w:space="0"/>
              <w:bottom w:val="single" w:color="000000" w:sz="8" w:space="0"/>
              <w:right w:val="single" w:color="000000" w:sz="8" w:space="0"/>
            </w:tcBorders>
            <w:shd w:val="clear" w:color="auto" w:fill="auto"/>
            <w:vAlign w:val="center"/>
          </w:tcPr>
          <w:p w14:paraId="7FECCB4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科普教育数字化平台</w:t>
            </w:r>
          </w:p>
        </w:tc>
        <w:tc>
          <w:tcPr>
            <w:tcW w:w="3487" w:type="dxa"/>
            <w:tcBorders>
              <w:top w:val="nil"/>
              <w:left w:val="single" w:color="000000" w:sz="8" w:space="0"/>
              <w:bottom w:val="nil"/>
              <w:right w:val="single" w:color="000000" w:sz="8" w:space="0"/>
            </w:tcBorders>
            <w:shd w:val="clear" w:color="auto" w:fill="auto"/>
            <w:vAlign w:val="center"/>
          </w:tcPr>
          <w:p w14:paraId="2D7B45A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1、规划数字孪生 + VR/AR 融合展示方案，可视化呈现生物技术原理、有机废弃物 “收运 - 处理 - 资源化” 全流程；</w:t>
            </w:r>
          </w:p>
        </w:tc>
        <w:tc>
          <w:tcPr>
            <w:tcW w:w="725" w:type="dxa"/>
            <w:tcBorders>
              <w:top w:val="nil"/>
              <w:left w:val="single" w:color="000000" w:sz="8" w:space="0"/>
              <w:bottom w:val="nil"/>
              <w:right w:val="single" w:color="000000" w:sz="8" w:space="0"/>
            </w:tcBorders>
            <w:shd w:val="clear" w:color="auto" w:fill="auto"/>
            <w:vAlign w:val="center"/>
          </w:tcPr>
          <w:p w14:paraId="6183D569">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273373CC">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432589AC">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65B6FB8C">
            <w:pPr>
              <w:jc w:val="center"/>
              <w:rPr>
                <w:rFonts w:hint="eastAsia" w:ascii="宋体" w:hAnsi="宋体" w:eastAsia="宋体" w:cs="宋体"/>
                <w:i w:val="0"/>
                <w:iCs w:val="0"/>
                <w:color w:val="000000"/>
                <w:sz w:val="16"/>
                <w:szCs w:val="16"/>
                <w:highlight w:val="none"/>
                <w:u w:val="none"/>
              </w:rPr>
            </w:pPr>
          </w:p>
        </w:tc>
        <w:tc>
          <w:tcPr>
            <w:tcW w:w="1411" w:type="dxa"/>
            <w:vMerge w:val="restart"/>
            <w:tcBorders>
              <w:top w:val="nil"/>
              <w:left w:val="single" w:color="000000" w:sz="8" w:space="0"/>
              <w:bottom w:val="single" w:color="000000" w:sz="8" w:space="0"/>
              <w:right w:val="single" w:color="000000" w:sz="8" w:space="0"/>
            </w:tcBorders>
            <w:shd w:val="clear" w:color="auto" w:fill="auto"/>
            <w:vAlign w:val="center"/>
          </w:tcPr>
          <w:p w14:paraId="7B109D2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打造沉浸式、互动式科普教育平台，实现生物科技知识普及与产业示范功能，支撑工业旅游标准化运营。</w:t>
            </w:r>
          </w:p>
        </w:tc>
      </w:tr>
      <w:tr w14:paraId="79378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506263CA">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6B59160C">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687F87E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2、设计互动式科普内容架构，涵盖知识问答、工艺流程模拟等模块；</w:t>
            </w:r>
          </w:p>
        </w:tc>
        <w:tc>
          <w:tcPr>
            <w:tcW w:w="725" w:type="dxa"/>
            <w:tcBorders>
              <w:top w:val="nil"/>
              <w:left w:val="single" w:color="000000" w:sz="8" w:space="0"/>
              <w:bottom w:val="nil"/>
              <w:right w:val="single" w:color="000000" w:sz="8" w:space="0"/>
            </w:tcBorders>
            <w:shd w:val="clear" w:color="auto" w:fill="auto"/>
            <w:vAlign w:val="center"/>
          </w:tcPr>
          <w:p w14:paraId="425D406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nil"/>
              <w:right w:val="single" w:color="000000" w:sz="8" w:space="0"/>
            </w:tcBorders>
            <w:shd w:val="clear" w:color="auto" w:fill="auto"/>
            <w:vAlign w:val="center"/>
          </w:tcPr>
          <w:p w14:paraId="1718210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nil"/>
              <w:right w:val="single" w:color="000000" w:sz="8" w:space="0"/>
            </w:tcBorders>
            <w:shd w:val="clear" w:color="auto" w:fill="auto"/>
            <w:vAlign w:val="center"/>
          </w:tcPr>
          <w:p w14:paraId="0211121D">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351E7DB2">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26686D63">
            <w:pPr>
              <w:jc w:val="center"/>
              <w:rPr>
                <w:rFonts w:hint="eastAsia" w:ascii="宋体" w:hAnsi="宋体" w:eastAsia="宋体" w:cs="宋体"/>
                <w:i w:val="0"/>
                <w:iCs w:val="0"/>
                <w:color w:val="000000"/>
                <w:sz w:val="16"/>
                <w:szCs w:val="16"/>
                <w:highlight w:val="none"/>
                <w:u w:val="none"/>
              </w:rPr>
            </w:pPr>
          </w:p>
        </w:tc>
      </w:tr>
      <w:tr w14:paraId="6A3D5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4834F2CA">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799441C1">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15D9714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3、规划访客管理与智能导览系统，支持参观预约、路线规划、自动讲解等功能；</w:t>
            </w:r>
          </w:p>
        </w:tc>
        <w:tc>
          <w:tcPr>
            <w:tcW w:w="725" w:type="dxa"/>
            <w:tcBorders>
              <w:top w:val="nil"/>
              <w:left w:val="single" w:color="000000" w:sz="8" w:space="0"/>
              <w:bottom w:val="nil"/>
              <w:right w:val="single" w:color="000000" w:sz="8" w:space="0"/>
            </w:tcBorders>
            <w:shd w:val="clear" w:color="auto" w:fill="auto"/>
            <w:vAlign w:val="center"/>
          </w:tcPr>
          <w:p w14:paraId="444A91D5">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31CB8B0A">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3906E84D">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714012F6">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1E5E6F9A">
            <w:pPr>
              <w:jc w:val="center"/>
              <w:rPr>
                <w:rFonts w:hint="eastAsia" w:ascii="宋体" w:hAnsi="宋体" w:eastAsia="宋体" w:cs="宋体"/>
                <w:i w:val="0"/>
                <w:iCs w:val="0"/>
                <w:color w:val="000000"/>
                <w:sz w:val="16"/>
                <w:szCs w:val="16"/>
                <w:highlight w:val="none"/>
                <w:u w:val="none"/>
              </w:rPr>
            </w:pPr>
          </w:p>
        </w:tc>
      </w:tr>
      <w:tr w14:paraId="3B3FC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1493869D">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4998FD88">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1A19F69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4、预留与工业旅游管理系统的数据接口，支撑 3A/4A 级景区运营需求。</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79984279">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single" w:color="000000" w:sz="8" w:space="0"/>
              <w:right w:val="single" w:color="000000" w:sz="8" w:space="0"/>
            </w:tcBorders>
            <w:shd w:val="clear" w:color="auto" w:fill="auto"/>
            <w:vAlign w:val="center"/>
          </w:tcPr>
          <w:p w14:paraId="70DAE405">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single" w:color="000000" w:sz="8" w:space="0"/>
              <w:right w:val="single" w:color="000000" w:sz="8" w:space="0"/>
            </w:tcBorders>
            <w:shd w:val="clear" w:color="auto" w:fill="auto"/>
            <w:vAlign w:val="center"/>
          </w:tcPr>
          <w:p w14:paraId="5115E2DC">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47BDCC55">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00CF728D">
            <w:pPr>
              <w:jc w:val="center"/>
              <w:rPr>
                <w:rFonts w:hint="eastAsia" w:ascii="宋体" w:hAnsi="宋体" w:eastAsia="宋体" w:cs="宋体"/>
                <w:i w:val="0"/>
                <w:iCs w:val="0"/>
                <w:color w:val="000000"/>
                <w:sz w:val="16"/>
                <w:szCs w:val="16"/>
                <w:highlight w:val="none"/>
                <w:u w:val="none"/>
              </w:rPr>
            </w:pPr>
          </w:p>
        </w:tc>
      </w:tr>
      <w:tr w14:paraId="72D0F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0BAE7166">
            <w:pPr>
              <w:jc w:val="center"/>
              <w:rPr>
                <w:rFonts w:hint="eastAsia" w:ascii="宋体" w:hAnsi="宋体" w:eastAsia="宋体" w:cs="宋体"/>
                <w:i w:val="0"/>
                <w:iCs w:val="0"/>
                <w:color w:val="000000"/>
                <w:sz w:val="16"/>
                <w:szCs w:val="16"/>
                <w:highlight w:val="none"/>
                <w:u w:val="none"/>
              </w:rPr>
            </w:pPr>
          </w:p>
        </w:tc>
        <w:tc>
          <w:tcPr>
            <w:tcW w:w="950" w:type="dxa"/>
            <w:vMerge w:val="restart"/>
            <w:tcBorders>
              <w:top w:val="nil"/>
              <w:left w:val="single" w:color="000000" w:sz="8" w:space="0"/>
              <w:bottom w:val="single" w:color="000000" w:sz="8" w:space="0"/>
              <w:right w:val="single" w:color="000000" w:sz="8" w:space="0"/>
            </w:tcBorders>
            <w:shd w:val="clear" w:color="auto" w:fill="auto"/>
            <w:vAlign w:val="center"/>
          </w:tcPr>
          <w:p w14:paraId="31940EE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机器人展示与应用系统</w:t>
            </w:r>
          </w:p>
        </w:tc>
        <w:tc>
          <w:tcPr>
            <w:tcW w:w="3487" w:type="dxa"/>
            <w:tcBorders>
              <w:top w:val="nil"/>
              <w:left w:val="single" w:color="000000" w:sz="8" w:space="0"/>
              <w:bottom w:val="nil"/>
              <w:right w:val="single" w:color="000000" w:sz="8" w:space="0"/>
            </w:tcBorders>
            <w:shd w:val="clear" w:color="auto" w:fill="auto"/>
            <w:vAlign w:val="center"/>
          </w:tcPr>
          <w:p w14:paraId="21D8A89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1、生产运营类机器人：规划环境监测机器人、车间清洁机器人、设备巡检机器人、无人驾驶车（园区内）的部署架构、传感器配置与数智化平台接入方案；</w:t>
            </w:r>
          </w:p>
        </w:tc>
        <w:tc>
          <w:tcPr>
            <w:tcW w:w="725" w:type="dxa"/>
            <w:tcBorders>
              <w:top w:val="nil"/>
              <w:left w:val="single" w:color="000000" w:sz="8" w:space="0"/>
              <w:bottom w:val="nil"/>
              <w:right w:val="single" w:color="000000" w:sz="8" w:space="0"/>
            </w:tcBorders>
            <w:shd w:val="clear" w:color="auto" w:fill="auto"/>
            <w:vAlign w:val="center"/>
          </w:tcPr>
          <w:p w14:paraId="6DDB0568">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004D3DA5">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4C6CAB66">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33496FD7">
            <w:pPr>
              <w:jc w:val="center"/>
              <w:rPr>
                <w:rFonts w:hint="eastAsia" w:ascii="宋体" w:hAnsi="宋体" w:eastAsia="宋体" w:cs="宋体"/>
                <w:i w:val="0"/>
                <w:iCs w:val="0"/>
                <w:color w:val="000000"/>
                <w:sz w:val="16"/>
                <w:szCs w:val="16"/>
                <w:highlight w:val="none"/>
                <w:u w:val="none"/>
              </w:rPr>
            </w:pPr>
          </w:p>
        </w:tc>
        <w:tc>
          <w:tcPr>
            <w:tcW w:w="1411" w:type="dxa"/>
            <w:vMerge w:val="restart"/>
            <w:tcBorders>
              <w:top w:val="nil"/>
              <w:left w:val="single" w:color="000000" w:sz="8" w:space="0"/>
              <w:bottom w:val="single" w:color="000000" w:sz="8" w:space="0"/>
              <w:right w:val="single" w:color="000000" w:sz="8" w:space="0"/>
            </w:tcBorders>
            <w:shd w:val="clear" w:color="auto" w:fill="auto"/>
            <w:vAlign w:val="center"/>
          </w:tcPr>
          <w:p w14:paraId="3BB8AC1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实现生产环节无人化作业升级，提升工厂科技化水平；打造智能化展厅互动体验，彰显 “世界级生物能源超级工厂” 示范形象。</w:t>
            </w:r>
          </w:p>
        </w:tc>
      </w:tr>
      <w:tr w14:paraId="33116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38CEB7B8">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77EDB222">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2C6A3CC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2、展示服务类机器人：设计展厅迎宾机器人、讲解机器人的功能模块，包括语音交互、路线引导、项目介绍、互动问答等能力；</w:t>
            </w:r>
          </w:p>
        </w:tc>
        <w:tc>
          <w:tcPr>
            <w:tcW w:w="725" w:type="dxa"/>
            <w:tcBorders>
              <w:top w:val="nil"/>
              <w:left w:val="single" w:color="000000" w:sz="8" w:space="0"/>
              <w:bottom w:val="nil"/>
              <w:right w:val="single" w:color="000000" w:sz="8" w:space="0"/>
            </w:tcBorders>
            <w:shd w:val="clear" w:color="auto" w:fill="auto"/>
            <w:vAlign w:val="center"/>
          </w:tcPr>
          <w:p w14:paraId="41F56D9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nil"/>
              <w:right w:val="single" w:color="000000" w:sz="8" w:space="0"/>
            </w:tcBorders>
            <w:shd w:val="clear" w:color="auto" w:fill="auto"/>
            <w:vAlign w:val="center"/>
          </w:tcPr>
          <w:p w14:paraId="5CACAC1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nil"/>
              <w:right w:val="single" w:color="000000" w:sz="8" w:space="0"/>
            </w:tcBorders>
            <w:shd w:val="clear" w:color="auto" w:fill="auto"/>
            <w:vAlign w:val="center"/>
          </w:tcPr>
          <w:p w14:paraId="18F3B1F1">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25A20471">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569D2F20">
            <w:pPr>
              <w:jc w:val="center"/>
              <w:rPr>
                <w:rFonts w:hint="eastAsia" w:ascii="宋体" w:hAnsi="宋体" w:eastAsia="宋体" w:cs="宋体"/>
                <w:i w:val="0"/>
                <w:iCs w:val="0"/>
                <w:color w:val="000000"/>
                <w:sz w:val="16"/>
                <w:szCs w:val="16"/>
                <w:highlight w:val="none"/>
                <w:u w:val="none"/>
              </w:rPr>
            </w:pPr>
          </w:p>
        </w:tc>
      </w:tr>
      <w:tr w14:paraId="2D942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713E10A9">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6C019698">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27A926C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3、明确机器人与数字孪生平台、视频监控系统的数据协同机制，支撑机器人作业状态可视化与远程调度。</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5B9D7331">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single" w:color="000000" w:sz="8" w:space="0"/>
              <w:right w:val="single" w:color="000000" w:sz="8" w:space="0"/>
            </w:tcBorders>
            <w:shd w:val="clear" w:color="auto" w:fill="auto"/>
            <w:vAlign w:val="center"/>
          </w:tcPr>
          <w:p w14:paraId="6BF2A1F8">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single" w:color="000000" w:sz="8" w:space="0"/>
              <w:right w:val="single" w:color="000000" w:sz="8" w:space="0"/>
            </w:tcBorders>
            <w:shd w:val="clear" w:color="auto" w:fill="auto"/>
            <w:vAlign w:val="center"/>
          </w:tcPr>
          <w:p w14:paraId="2A9AEAB7">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61B4D7AC">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7B28A7D8">
            <w:pPr>
              <w:jc w:val="center"/>
              <w:rPr>
                <w:rFonts w:hint="eastAsia" w:ascii="宋体" w:hAnsi="宋体" w:eastAsia="宋体" w:cs="宋体"/>
                <w:i w:val="0"/>
                <w:iCs w:val="0"/>
                <w:color w:val="000000"/>
                <w:sz w:val="16"/>
                <w:szCs w:val="16"/>
                <w:highlight w:val="none"/>
                <w:u w:val="none"/>
              </w:rPr>
            </w:pPr>
          </w:p>
        </w:tc>
      </w:tr>
      <w:tr w14:paraId="4E82D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82" w:type="dxa"/>
            <w:vMerge w:val="restart"/>
            <w:tcBorders>
              <w:top w:val="nil"/>
              <w:left w:val="single" w:color="000000" w:sz="8" w:space="0"/>
              <w:bottom w:val="single" w:color="000000" w:sz="8" w:space="0"/>
              <w:right w:val="single" w:color="000000" w:sz="8" w:space="0"/>
            </w:tcBorders>
            <w:shd w:val="clear" w:color="auto" w:fill="auto"/>
            <w:vAlign w:val="center"/>
          </w:tcPr>
          <w:p w14:paraId="440A505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十、集团级一体化平台</w:t>
            </w:r>
          </w:p>
        </w:tc>
        <w:tc>
          <w:tcPr>
            <w:tcW w:w="950" w:type="dxa"/>
            <w:vMerge w:val="restart"/>
            <w:tcBorders>
              <w:top w:val="nil"/>
              <w:left w:val="single" w:color="000000" w:sz="8" w:space="0"/>
              <w:bottom w:val="single" w:color="000000" w:sz="8" w:space="0"/>
              <w:right w:val="single" w:color="000000" w:sz="8" w:space="0"/>
            </w:tcBorders>
            <w:shd w:val="clear" w:color="auto" w:fill="auto"/>
            <w:vAlign w:val="center"/>
          </w:tcPr>
          <w:p w14:paraId="1028016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集团级智能驾驶舱</w:t>
            </w:r>
          </w:p>
        </w:tc>
        <w:tc>
          <w:tcPr>
            <w:tcW w:w="3487" w:type="dxa"/>
            <w:tcBorders>
              <w:top w:val="nil"/>
              <w:left w:val="single" w:color="000000" w:sz="8" w:space="0"/>
              <w:bottom w:val="nil"/>
              <w:right w:val="single" w:color="000000" w:sz="8" w:space="0"/>
            </w:tcBorders>
            <w:shd w:val="clear" w:color="auto" w:fill="auto"/>
            <w:vAlign w:val="center"/>
          </w:tcPr>
          <w:p w14:paraId="0D0ABC0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规划集团统一指标体系与智能决策驾驶舱架构，支持多厂区集中展示、经营自主分析与智能监管。</w:t>
            </w:r>
          </w:p>
        </w:tc>
        <w:tc>
          <w:tcPr>
            <w:tcW w:w="725" w:type="dxa"/>
            <w:tcBorders>
              <w:top w:val="nil"/>
              <w:left w:val="single" w:color="000000" w:sz="8" w:space="0"/>
              <w:bottom w:val="nil"/>
              <w:right w:val="single" w:color="000000" w:sz="8" w:space="0"/>
            </w:tcBorders>
            <w:shd w:val="clear" w:color="auto" w:fill="auto"/>
            <w:vAlign w:val="center"/>
          </w:tcPr>
          <w:p w14:paraId="179786B7">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68B23D7D">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6E0FA6CD">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32925FCB">
            <w:pPr>
              <w:jc w:val="center"/>
              <w:rPr>
                <w:rFonts w:hint="eastAsia" w:ascii="宋体" w:hAnsi="宋体" w:eastAsia="宋体" w:cs="宋体"/>
                <w:i w:val="0"/>
                <w:iCs w:val="0"/>
                <w:color w:val="000000"/>
                <w:sz w:val="16"/>
                <w:szCs w:val="16"/>
                <w:highlight w:val="none"/>
                <w:u w:val="none"/>
              </w:rPr>
            </w:pPr>
          </w:p>
        </w:tc>
        <w:tc>
          <w:tcPr>
            <w:tcW w:w="1411" w:type="dxa"/>
            <w:vMerge w:val="restart"/>
            <w:tcBorders>
              <w:top w:val="nil"/>
              <w:left w:val="single" w:color="000000" w:sz="8" w:space="0"/>
              <w:bottom w:val="single" w:color="000000" w:sz="8" w:space="0"/>
              <w:right w:val="single" w:color="000000" w:sz="8" w:space="0"/>
            </w:tcBorders>
            <w:shd w:val="clear" w:color="auto" w:fill="auto"/>
            <w:vAlign w:val="center"/>
          </w:tcPr>
          <w:p w14:paraId="5C7C1C7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集团集中管控与智能决策支持。</w:t>
            </w:r>
          </w:p>
        </w:tc>
      </w:tr>
      <w:tr w14:paraId="6E199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423C9E1F">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313E2EFB">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09822C4D">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08991CA3">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7BA57F7F">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2400E3EF">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2264ADB2">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7F087BAE">
            <w:pPr>
              <w:jc w:val="center"/>
              <w:rPr>
                <w:rFonts w:hint="eastAsia" w:ascii="宋体" w:hAnsi="宋体" w:eastAsia="宋体" w:cs="宋体"/>
                <w:i w:val="0"/>
                <w:iCs w:val="0"/>
                <w:color w:val="000000"/>
                <w:sz w:val="16"/>
                <w:szCs w:val="16"/>
                <w:highlight w:val="none"/>
                <w:u w:val="none"/>
              </w:rPr>
            </w:pPr>
          </w:p>
        </w:tc>
      </w:tr>
      <w:tr w14:paraId="104B6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545642A8">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2ED8A3C9">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507F580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集成下属所有厂区（初期以通州项目为核心，后期对接中山、龙岗、广州等厂区的数据）的核心运营数据，从集团视角集中展示关键绩效指标（KPI），包括但不限于：总处理量、总产出量（沼气、生物柴油、有机肥）、总能耗、综合碳排放/碳减排量、集团整体OEE（设备综合效率）、安全环保事件概览等。</w:t>
            </w:r>
          </w:p>
        </w:tc>
        <w:tc>
          <w:tcPr>
            <w:tcW w:w="725" w:type="dxa"/>
            <w:tcBorders>
              <w:top w:val="nil"/>
              <w:left w:val="single" w:color="000000" w:sz="8" w:space="0"/>
              <w:bottom w:val="nil"/>
              <w:right w:val="single" w:color="000000" w:sz="8" w:space="0"/>
            </w:tcBorders>
            <w:shd w:val="clear" w:color="auto" w:fill="auto"/>
            <w:vAlign w:val="center"/>
          </w:tcPr>
          <w:p w14:paraId="08BACF0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nil"/>
              <w:right w:val="single" w:color="000000" w:sz="8" w:space="0"/>
            </w:tcBorders>
            <w:shd w:val="clear" w:color="auto" w:fill="auto"/>
            <w:vAlign w:val="center"/>
          </w:tcPr>
          <w:p w14:paraId="2D19DA7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nil"/>
              <w:right w:val="single" w:color="000000" w:sz="8" w:space="0"/>
            </w:tcBorders>
            <w:shd w:val="clear" w:color="auto" w:fill="auto"/>
            <w:vAlign w:val="center"/>
          </w:tcPr>
          <w:p w14:paraId="36B9C381">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7DE0C3D1">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50BDE024">
            <w:pPr>
              <w:jc w:val="center"/>
              <w:rPr>
                <w:rFonts w:hint="eastAsia" w:ascii="宋体" w:hAnsi="宋体" w:eastAsia="宋体" w:cs="宋体"/>
                <w:i w:val="0"/>
                <w:iCs w:val="0"/>
                <w:color w:val="000000"/>
                <w:sz w:val="16"/>
                <w:szCs w:val="16"/>
                <w:highlight w:val="none"/>
                <w:u w:val="none"/>
              </w:rPr>
            </w:pPr>
          </w:p>
        </w:tc>
      </w:tr>
      <w:tr w14:paraId="7F709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2B05C285">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45580E05">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2C7C0FC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2、多维下钻分析：支持从集团-厂区-车间-设备的多层级数据钻取，实现对异常指标的快速溯源分析。</w:t>
            </w:r>
          </w:p>
        </w:tc>
        <w:tc>
          <w:tcPr>
            <w:tcW w:w="725" w:type="dxa"/>
            <w:tcBorders>
              <w:top w:val="nil"/>
              <w:left w:val="single" w:color="000000" w:sz="8" w:space="0"/>
              <w:bottom w:val="nil"/>
              <w:right w:val="single" w:color="000000" w:sz="8" w:space="0"/>
            </w:tcBorders>
            <w:shd w:val="clear" w:color="auto" w:fill="auto"/>
            <w:vAlign w:val="center"/>
          </w:tcPr>
          <w:p w14:paraId="4173DB23">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75EB670D">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6AF15793">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566D7FE6">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7589C301">
            <w:pPr>
              <w:jc w:val="center"/>
              <w:rPr>
                <w:rFonts w:hint="eastAsia" w:ascii="宋体" w:hAnsi="宋体" w:eastAsia="宋体" w:cs="宋体"/>
                <w:i w:val="0"/>
                <w:iCs w:val="0"/>
                <w:color w:val="000000"/>
                <w:sz w:val="16"/>
                <w:szCs w:val="16"/>
                <w:highlight w:val="none"/>
                <w:u w:val="none"/>
              </w:rPr>
            </w:pPr>
          </w:p>
        </w:tc>
      </w:tr>
      <w:tr w14:paraId="0A5EB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60BADD4A">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2847FB05">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17413CE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3、高层决策视图：为集团管理层提供定制化的战略视图，聚焦于财务回报、产能利用率、战略项目进展等核心决策信息。</w:t>
            </w:r>
          </w:p>
        </w:tc>
        <w:tc>
          <w:tcPr>
            <w:tcW w:w="725" w:type="dxa"/>
            <w:tcBorders>
              <w:top w:val="nil"/>
              <w:left w:val="single" w:color="000000" w:sz="8" w:space="0"/>
              <w:bottom w:val="nil"/>
              <w:right w:val="single" w:color="000000" w:sz="8" w:space="0"/>
            </w:tcBorders>
            <w:shd w:val="clear" w:color="auto" w:fill="auto"/>
            <w:vAlign w:val="center"/>
          </w:tcPr>
          <w:p w14:paraId="4C30BABA">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1A2E3D81">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20F2B36C">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31615280">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4427412F">
            <w:pPr>
              <w:jc w:val="center"/>
              <w:rPr>
                <w:rFonts w:hint="eastAsia" w:ascii="宋体" w:hAnsi="宋体" w:eastAsia="宋体" w:cs="宋体"/>
                <w:i w:val="0"/>
                <w:iCs w:val="0"/>
                <w:color w:val="000000"/>
                <w:sz w:val="16"/>
                <w:szCs w:val="16"/>
                <w:highlight w:val="none"/>
                <w:u w:val="none"/>
              </w:rPr>
            </w:pPr>
          </w:p>
        </w:tc>
      </w:tr>
      <w:tr w14:paraId="24080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518AC812">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5DD51959">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1ED9064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4、规划集团级指标体系与驾驶舱架构，支持多厂区统一展示与分析。</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52A8746A">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single" w:color="000000" w:sz="8" w:space="0"/>
              <w:right w:val="single" w:color="000000" w:sz="8" w:space="0"/>
            </w:tcBorders>
            <w:shd w:val="clear" w:color="auto" w:fill="auto"/>
            <w:vAlign w:val="center"/>
          </w:tcPr>
          <w:p w14:paraId="188E9B08">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single" w:color="000000" w:sz="8" w:space="0"/>
              <w:right w:val="single" w:color="000000" w:sz="8" w:space="0"/>
            </w:tcBorders>
            <w:shd w:val="clear" w:color="auto" w:fill="auto"/>
            <w:vAlign w:val="center"/>
          </w:tcPr>
          <w:p w14:paraId="49F8FA2E">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448D408B">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4C62A754">
            <w:pPr>
              <w:jc w:val="center"/>
              <w:rPr>
                <w:rFonts w:hint="eastAsia" w:ascii="宋体" w:hAnsi="宋体" w:eastAsia="宋体" w:cs="宋体"/>
                <w:i w:val="0"/>
                <w:iCs w:val="0"/>
                <w:color w:val="000000"/>
                <w:sz w:val="16"/>
                <w:szCs w:val="16"/>
                <w:highlight w:val="none"/>
                <w:u w:val="none"/>
              </w:rPr>
            </w:pPr>
          </w:p>
        </w:tc>
      </w:tr>
      <w:tr w14:paraId="22B96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4CDC41D4">
            <w:pPr>
              <w:jc w:val="center"/>
              <w:rPr>
                <w:rFonts w:hint="eastAsia" w:ascii="宋体" w:hAnsi="宋体" w:eastAsia="宋体" w:cs="宋体"/>
                <w:i w:val="0"/>
                <w:iCs w:val="0"/>
                <w:color w:val="000000"/>
                <w:sz w:val="16"/>
                <w:szCs w:val="16"/>
                <w:highlight w:val="none"/>
                <w:u w:val="none"/>
              </w:rPr>
            </w:pPr>
          </w:p>
        </w:tc>
        <w:tc>
          <w:tcPr>
            <w:tcW w:w="950" w:type="dxa"/>
            <w:vMerge w:val="restart"/>
            <w:tcBorders>
              <w:top w:val="nil"/>
              <w:left w:val="single" w:color="000000" w:sz="8" w:space="0"/>
              <w:bottom w:val="single" w:color="000000" w:sz="8" w:space="0"/>
              <w:right w:val="single" w:color="000000" w:sz="8" w:space="0"/>
            </w:tcBorders>
            <w:shd w:val="clear" w:color="auto" w:fill="auto"/>
            <w:vAlign w:val="center"/>
          </w:tcPr>
          <w:p w14:paraId="343750E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跨厂区对标分析</w:t>
            </w:r>
          </w:p>
        </w:tc>
        <w:tc>
          <w:tcPr>
            <w:tcW w:w="3487" w:type="dxa"/>
            <w:tcBorders>
              <w:top w:val="nil"/>
              <w:left w:val="single" w:color="000000" w:sz="8" w:space="0"/>
              <w:bottom w:val="nil"/>
              <w:right w:val="single" w:color="000000" w:sz="8" w:space="0"/>
            </w:tcBorders>
            <w:shd w:val="clear" w:color="auto" w:fill="auto"/>
            <w:vAlign w:val="center"/>
          </w:tcPr>
          <w:p w14:paraId="31F8518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设计多厂区 KPI、能耗、成本、效率等对标分析能力，规划借助智能AI工具进行自主、快速的对标分析。</w:t>
            </w:r>
          </w:p>
        </w:tc>
        <w:tc>
          <w:tcPr>
            <w:tcW w:w="725" w:type="dxa"/>
            <w:tcBorders>
              <w:top w:val="nil"/>
              <w:left w:val="single" w:color="000000" w:sz="8" w:space="0"/>
              <w:bottom w:val="nil"/>
              <w:right w:val="single" w:color="000000" w:sz="8" w:space="0"/>
            </w:tcBorders>
            <w:shd w:val="clear" w:color="auto" w:fill="auto"/>
            <w:vAlign w:val="center"/>
          </w:tcPr>
          <w:p w14:paraId="2D7D1835">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6C11B90D">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666677AC">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1A3D027A">
            <w:pPr>
              <w:jc w:val="center"/>
              <w:rPr>
                <w:rFonts w:hint="eastAsia" w:ascii="宋体" w:hAnsi="宋体" w:eastAsia="宋体" w:cs="宋体"/>
                <w:i w:val="0"/>
                <w:iCs w:val="0"/>
                <w:color w:val="000000"/>
                <w:sz w:val="16"/>
                <w:szCs w:val="16"/>
                <w:highlight w:val="none"/>
                <w:u w:val="none"/>
              </w:rPr>
            </w:pPr>
          </w:p>
        </w:tc>
        <w:tc>
          <w:tcPr>
            <w:tcW w:w="1411" w:type="dxa"/>
            <w:vMerge w:val="restart"/>
            <w:tcBorders>
              <w:top w:val="nil"/>
              <w:left w:val="single" w:color="000000" w:sz="8" w:space="0"/>
              <w:bottom w:val="single" w:color="000000" w:sz="8" w:space="0"/>
              <w:right w:val="single" w:color="000000" w:sz="8" w:space="0"/>
            </w:tcBorders>
            <w:shd w:val="clear" w:color="auto" w:fill="auto"/>
            <w:vAlign w:val="center"/>
          </w:tcPr>
          <w:p w14:paraId="3A05769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推动集团持续优化与复制推广。</w:t>
            </w:r>
          </w:p>
        </w:tc>
      </w:tr>
      <w:tr w14:paraId="395F5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67207F2C">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4B319B24">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515D854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1、绩效横向对标：建立统一的KPI核算标准，支持在不同厂区之间进行同类指标（如吨处理能耗、提油率、人均产值、设备故障率）的横向对比分析，自动识别最优实践和落后指标。</w:t>
            </w:r>
          </w:p>
        </w:tc>
        <w:tc>
          <w:tcPr>
            <w:tcW w:w="725" w:type="dxa"/>
            <w:tcBorders>
              <w:top w:val="nil"/>
              <w:left w:val="single" w:color="000000" w:sz="8" w:space="0"/>
              <w:bottom w:val="nil"/>
              <w:right w:val="single" w:color="000000" w:sz="8" w:space="0"/>
            </w:tcBorders>
            <w:shd w:val="clear" w:color="auto" w:fill="auto"/>
            <w:vAlign w:val="center"/>
          </w:tcPr>
          <w:p w14:paraId="3A21BB8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nil"/>
              <w:right w:val="single" w:color="000000" w:sz="8" w:space="0"/>
            </w:tcBorders>
            <w:shd w:val="clear" w:color="auto" w:fill="auto"/>
            <w:vAlign w:val="center"/>
          </w:tcPr>
          <w:p w14:paraId="1A04465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nil"/>
              <w:right w:val="single" w:color="000000" w:sz="8" w:space="0"/>
            </w:tcBorders>
            <w:shd w:val="clear" w:color="auto" w:fill="auto"/>
            <w:vAlign w:val="center"/>
          </w:tcPr>
          <w:p w14:paraId="3CED1081">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4EF558DA">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40A1CCFA">
            <w:pPr>
              <w:jc w:val="center"/>
              <w:rPr>
                <w:rFonts w:hint="eastAsia" w:ascii="宋体" w:hAnsi="宋体" w:eastAsia="宋体" w:cs="宋体"/>
                <w:i w:val="0"/>
                <w:iCs w:val="0"/>
                <w:color w:val="000000"/>
                <w:sz w:val="16"/>
                <w:szCs w:val="16"/>
                <w:highlight w:val="none"/>
                <w:u w:val="none"/>
              </w:rPr>
            </w:pPr>
          </w:p>
        </w:tc>
      </w:tr>
      <w:tr w14:paraId="47DCF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428C21FD">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5FA1537F">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2CC58ED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2、成本对标分析：打通财务数据，实现各厂区吨处理成本、维修成本、药剂成本等多维度成本的对标分析，发现降本增效机会。</w:t>
            </w:r>
          </w:p>
        </w:tc>
        <w:tc>
          <w:tcPr>
            <w:tcW w:w="725" w:type="dxa"/>
            <w:tcBorders>
              <w:top w:val="nil"/>
              <w:left w:val="single" w:color="000000" w:sz="8" w:space="0"/>
              <w:bottom w:val="nil"/>
              <w:right w:val="single" w:color="000000" w:sz="8" w:space="0"/>
            </w:tcBorders>
            <w:shd w:val="clear" w:color="auto" w:fill="auto"/>
            <w:vAlign w:val="center"/>
          </w:tcPr>
          <w:p w14:paraId="493A243C">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7C74787D">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689DAF5F">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2EBBA71C">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36AB622C">
            <w:pPr>
              <w:jc w:val="center"/>
              <w:rPr>
                <w:rFonts w:hint="eastAsia" w:ascii="宋体" w:hAnsi="宋体" w:eastAsia="宋体" w:cs="宋体"/>
                <w:i w:val="0"/>
                <w:iCs w:val="0"/>
                <w:color w:val="000000"/>
                <w:sz w:val="16"/>
                <w:szCs w:val="16"/>
                <w:highlight w:val="none"/>
                <w:u w:val="none"/>
              </w:rPr>
            </w:pPr>
          </w:p>
        </w:tc>
      </w:tr>
      <w:tr w14:paraId="5476B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14029658">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76C437BD">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63AC9C4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3、最佳实践发现：通过数据挖掘，自动发现并高亮展示持续表现优异的厂区、班组或特定工艺环节，为管理提升提供数据洞察。</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65E699DA">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single" w:color="000000" w:sz="8" w:space="0"/>
              <w:right w:val="single" w:color="000000" w:sz="8" w:space="0"/>
            </w:tcBorders>
            <w:shd w:val="clear" w:color="auto" w:fill="auto"/>
            <w:vAlign w:val="center"/>
          </w:tcPr>
          <w:p w14:paraId="62A799C5">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single" w:color="000000" w:sz="8" w:space="0"/>
              <w:right w:val="single" w:color="000000" w:sz="8" w:space="0"/>
            </w:tcBorders>
            <w:shd w:val="clear" w:color="auto" w:fill="auto"/>
            <w:vAlign w:val="center"/>
          </w:tcPr>
          <w:p w14:paraId="12E31D9D">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5FC0B7F0">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2B9B051D">
            <w:pPr>
              <w:jc w:val="center"/>
              <w:rPr>
                <w:rFonts w:hint="eastAsia" w:ascii="宋体" w:hAnsi="宋体" w:eastAsia="宋体" w:cs="宋体"/>
                <w:i w:val="0"/>
                <w:iCs w:val="0"/>
                <w:color w:val="000000"/>
                <w:sz w:val="16"/>
                <w:szCs w:val="16"/>
                <w:highlight w:val="none"/>
                <w:u w:val="none"/>
              </w:rPr>
            </w:pPr>
          </w:p>
        </w:tc>
      </w:tr>
      <w:tr w14:paraId="6EC03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2B5517FB">
            <w:pPr>
              <w:jc w:val="center"/>
              <w:rPr>
                <w:rFonts w:hint="eastAsia" w:ascii="宋体" w:hAnsi="宋体" w:eastAsia="宋体" w:cs="宋体"/>
                <w:i w:val="0"/>
                <w:iCs w:val="0"/>
                <w:color w:val="000000"/>
                <w:sz w:val="16"/>
                <w:szCs w:val="16"/>
                <w:highlight w:val="none"/>
                <w:u w:val="none"/>
              </w:rPr>
            </w:pPr>
          </w:p>
        </w:tc>
        <w:tc>
          <w:tcPr>
            <w:tcW w:w="950" w:type="dxa"/>
            <w:vMerge w:val="restart"/>
            <w:tcBorders>
              <w:top w:val="nil"/>
              <w:left w:val="single" w:color="000000" w:sz="8" w:space="0"/>
              <w:bottom w:val="single" w:color="000000" w:sz="8" w:space="0"/>
              <w:right w:val="single" w:color="000000" w:sz="8" w:space="0"/>
            </w:tcBorders>
            <w:shd w:val="clear" w:color="auto" w:fill="auto"/>
            <w:vAlign w:val="center"/>
          </w:tcPr>
          <w:p w14:paraId="698ABE7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标准化运营管理</w:t>
            </w:r>
          </w:p>
        </w:tc>
        <w:tc>
          <w:tcPr>
            <w:tcW w:w="3487" w:type="dxa"/>
            <w:tcBorders>
              <w:top w:val="nil"/>
              <w:left w:val="single" w:color="000000" w:sz="8" w:space="0"/>
              <w:bottom w:val="nil"/>
              <w:right w:val="single" w:color="000000" w:sz="8" w:space="0"/>
            </w:tcBorders>
            <w:shd w:val="clear" w:color="auto" w:fill="auto"/>
            <w:vAlign w:val="center"/>
          </w:tcPr>
          <w:p w14:paraId="4125DAC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规划集团标准化运营体系及新厂区快速接入与复制路径。</w:t>
            </w:r>
          </w:p>
        </w:tc>
        <w:tc>
          <w:tcPr>
            <w:tcW w:w="725" w:type="dxa"/>
            <w:tcBorders>
              <w:top w:val="nil"/>
              <w:left w:val="single" w:color="000000" w:sz="8" w:space="0"/>
              <w:bottom w:val="nil"/>
              <w:right w:val="single" w:color="000000" w:sz="8" w:space="0"/>
            </w:tcBorders>
            <w:shd w:val="clear" w:color="auto" w:fill="auto"/>
            <w:vAlign w:val="center"/>
          </w:tcPr>
          <w:p w14:paraId="52B32D87">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nil"/>
              <w:right w:val="single" w:color="000000" w:sz="8" w:space="0"/>
            </w:tcBorders>
            <w:shd w:val="clear" w:color="auto" w:fill="auto"/>
            <w:vAlign w:val="center"/>
          </w:tcPr>
          <w:p w14:paraId="370F9412">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nil"/>
              <w:right w:val="single" w:color="000000" w:sz="8" w:space="0"/>
            </w:tcBorders>
            <w:shd w:val="clear" w:color="auto" w:fill="auto"/>
            <w:vAlign w:val="center"/>
          </w:tcPr>
          <w:p w14:paraId="47CCC59D">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513299F3">
            <w:pPr>
              <w:jc w:val="center"/>
              <w:rPr>
                <w:rFonts w:hint="eastAsia" w:ascii="宋体" w:hAnsi="宋体" w:eastAsia="宋体" w:cs="宋体"/>
                <w:i w:val="0"/>
                <w:iCs w:val="0"/>
                <w:color w:val="000000"/>
                <w:sz w:val="16"/>
                <w:szCs w:val="16"/>
                <w:highlight w:val="none"/>
                <w:u w:val="none"/>
              </w:rPr>
            </w:pPr>
          </w:p>
        </w:tc>
        <w:tc>
          <w:tcPr>
            <w:tcW w:w="1411" w:type="dxa"/>
            <w:vMerge w:val="restart"/>
            <w:tcBorders>
              <w:top w:val="nil"/>
              <w:left w:val="single" w:color="000000" w:sz="8" w:space="0"/>
              <w:bottom w:val="single" w:color="000000" w:sz="8" w:space="0"/>
              <w:right w:val="single" w:color="000000" w:sz="8" w:space="0"/>
            </w:tcBorders>
            <w:shd w:val="clear" w:color="auto" w:fill="auto"/>
            <w:vAlign w:val="center"/>
          </w:tcPr>
          <w:p w14:paraId="2294AAD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实现集团化规模扩展。</w:t>
            </w:r>
          </w:p>
        </w:tc>
      </w:tr>
      <w:tr w14:paraId="0BC98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4058E571">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4A5BA362">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nil"/>
              <w:right w:val="single" w:color="000000" w:sz="8" w:space="0"/>
            </w:tcBorders>
            <w:shd w:val="clear" w:color="auto" w:fill="auto"/>
            <w:vAlign w:val="center"/>
          </w:tcPr>
          <w:p w14:paraId="66ED03D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1、统一流程固化：将集团最佳运营管理实践（如SOP、安全规程、设备维护标准等）固化为平台的标准化流程模板。</w:t>
            </w:r>
          </w:p>
        </w:tc>
        <w:tc>
          <w:tcPr>
            <w:tcW w:w="725" w:type="dxa"/>
            <w:tcBorders>
              <w:top w:val="nil"/>
              <w:left w:val="single" w:color="000000" w:sz="8" w:space="0"/>
              <w:bottom w:val="nil"/>
              <w:right w:val="single" w:color="000000" w:sz="8" w:space="0"/>
            </w:tcBorders>
            <w:shd w:val="clear" w:color="auto" w:fill="auto"/>
            <w:vAlign w:val="center"/>
          </w:tcPr>
          <w:p w14:paraId="5A9D6D9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725" w:type="dxa"/>
            <w:tcBorders>
              <w:top w:val="nil"/>
              <w:left w:val="single" w:color="000000" w:sz="8" w:space="0"/>
              <w:bottom w:val="nil"/>
              <w:right w:val="single" w:color="000000" w:sz="8" w:space="0"/>
            </w:tcBorders>
            <w:shd w:val="clear" w:color="auto" w:fill="auto"/>
            <w:vAlign w:val="center"/>
          </w:tcPr>
          <w:p w14:paraId="00C5432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项</w:t>
            </w:r>
          </w:p>
        </w:tc>
        <w:tc>
          <w:tcPr>
            <w:tcW w:w="838" w:type="dxa"/>
            <w:tcBorders>
              <w:top w:val="nil"/>
              <w:left w:val="single" w:color="000000" w:sz="8" w:space="0"/>
              <w:bottom w:val="nil"/>
              <w:right w:val="single" w:color="000000" w:sz="8" w:space="0"/>
            </w:tcBorders>
            <w:shd w:val="clear" w:color="auto" w:fill="auto"/>
            <w:vAlign w:val="center"/>
          </w:tcPr>
          <w:p w14:paraId="1869F404">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nil"/>
              <w:right w:val="single" w:color="000000" w:sz="8" w:space="0"/>
            </w:tcBorders>
            <w:shd w:val="clear" w:color="auto" w:fill="auto"/>
            <w:vAlign w:val="center"/>
          </w:tcPr>
          <w:p w14:paraId="70E92CC6">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68232DB2">
            <w:pPr>
              <w:jc w:val="center"/>
              <w:rPr>
                <w:rFonts w:hint="eastAsia" w:ascii="宋体" w:hAnsi="宋体" w:eastAsia="宋体" w:cs="宋体"/>
                <w:i w:val="0"/>
                <w:iCs w:val="0"/>
                <w:color w:val="000000"/>
                <w:sz w:val="16"/>
                <w:szCs w:val="16"/>
                <w:highlight w:val="none"/>
                <w:u w:val="none"/>
              </w:rPr>
            </w:pPr>
          </w:p>
        </w:tc>
      </w:tr>
      <w:tr w14:paraId="0B2F4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582" w:type="dxa"/>
            <w:vMerge w:val="continue"/>
            <w:tcBorders>
              <w:top w:val="nil"/>
              <w:left w:val="single" w:color="000000" w:sz="8" w:space="0"/>
              <w:bottom w:val="single" w:color="000000" w:sz="8" w:space="0"/>
              <w:right w:val="single" w:color="000000" w:sz="8" w:space="0"/>
            </w:tcBorders>
            <w:shd w:val="clear" w:color="auto" w:fill="auto"/>
            <w:vAlign w:val="center"/>
          </w:tcPr>
          <w:p w14:paraId="7FBB9ABF">
            <w:pPr>
              <w:jc w:val="center"/>
              <w:rPr>
                <w:rFonts w:hint="eastAsia" w:ascii="宋体" w:hAnsi="宋体" w:eastAsia="宋体" w:cs="宋体"/>
                <w:i w:val="0"/>
                <w:iCs w:val="0"/>
                <w:color w:val="000000"/>
                <w:sz w:val="16"/>
                <w:szCs w:val="16"/>
                <w:highlight w:val="none"/>
                <w:u w:val="none"/>
              </w:rPr>
            </w:pPr>
          </w:p>
        </w:tc>
        <w:tc>
          <w:tcPr>
            <w:tcW w:w="950" w:type="dxa"/>
            <w:vMerge w:val="continue"/>
            <w:tcBorders>
              <w:top w:val="nil"/>
              <w:left w:val="single" w:color="000000" w:sz="8" w:space="0"/>
              <w:bottom w:val="single" w:color="000000" w:sz="8" w:space="0"/>
              <w:right w:val="single" w:color="000000" w:sz="8" w:space="0"/>
            </w:tcBorders>
            <w:shd w:val="clear" w:color="auto" w:fill="auto"/>
            <w:vAlign w:val="center"/>
          </w:tcPr>
          <w:p w14:paraId="762AC05A">
            <w:pPr>
              <w:jc w:val="center"/>
              <w:rPr>
                <w:rFonts w:hint="eastAsia" w:ascii="宋体" w:hAnsi="宋体" w:eastAsia="宋体" w:cs="宋体"/>
                <w:i w:val="0"/>
                <w:iCs w:val="0"/>
                <w:color w:val="000000"/>
                <w:sz w:val="16"/>
                <w:szCs w:val="16"/>
                <w:highlight w:val="none"/>
                <w:u w:val="none"/>
              </w:rPr>
            </w:pPr>
          </w:p>
        </w:tc>
        <w:tc>
          <w:tcPr>
            <w:tcW w:w="3487" w:type="dxa"/>
            <w:tcBorders>
              <w:top w:val="nil"/>
              <w:left w:val="single" w:color="000000" w:sz="8" w:space="0"/>
              <w:bottom w:val="single" w:color="000000" w:sz="8" w:space="0"/>
              <w:right w:val="single" w:color="000000" w:sz="8" w:space="0"/>
            </w:tcBorders>
            <w:shd w:val="clear" w:color="auto" w:fill="auto"/>
            <w:vAlign w:val="center"/>
          </w:tcPr>
          <w:p w14:paraId="312B852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2、新厂区快速复制：支持新投建或收购的厂区能够通过平台一键部署标准化的管理体系，实现集团管理模式的快速复制和落地。</w:t>
            </w:r>
          </w:p>
        </w:tc>
        <w:tc>
          <w:tcPr>
            <w:tcW w:w="725" w:type="dxa"/>
            <w:tcBorders>
              <w:top w:val="nil"/>
              <w:left w:val="single" w:color="000000" w:sz="8" w:space="0"/>
              <w:bottom w:val="single" w:color="000000" w:sz="8" w:space="0"/>
              <w:right w:val="single" w:color="000000" w:sz="8" w:space="0"/>
            </w:tcBorders>
            <w:shd w:val="clear" w:color="auto" w:fill="auto"/>
            <w:vAlign w:val="center"/>
          </w:tcPr>
          <w:p w14:paraId="37AB044D">
            <w:pPr>
              <w:jc w:val="center"/>
              <w:rPr>
                <w:rFonts w:hint="eastAsia" w:ascii="宋体" w:hAnsi="宋体" w:eastAsia="宋体" w:cs="宋体"/>
                <w:i w:val="0"/>
                <w:iCs w:val="0"/>
                <w:color w:val="000000"/>
                <w:sz w:val="16"/>
                <w:szCs w:val="16"/>
                <w:highlight w:val="none"/>
                <w:u w:val="none"/>
              </w:rPr>
            </w:pPr>
          </w:p>
        </w:tc>
        <w:tc>
          <w:tcPr>
            <w:tcW w:w="725" w:type="dxa"/>
            <w:tcBorders>
              <w:top w:val="nil"/>
              <w:left w:val="single" w:color="000000" w:sz="8" w:space="0"/>
              <w:bottom w:val="single" w:color="000000" w:sz="8" w:space="0"/>
              <w:right w:val="single" w:color="000000" w:sz="8" w:space="0"/>
            </w:tcBorders>
            <w:shd w:val="clear" w:color="auto" w:fill="auto"/>
            <w:vAlign w:val="center"/>
          </w:tcPr>
          <w:p w14:paraId="5625C37D">
            <w:pPr>
              <w:jc w:val="center"/>
              <w:rPr>
                <w:rFonts w:hint="eastAsia" w:ascii="宋体" w:hAnsi="宋体" w:eastAsia="宋体" w:cs="宋体"/>
                <w:i w:val="0"/>
                <w:iCs w:val="0"/>
                <w:color w:val="000000"/>
                <w:sz w:val="16"/>
                <w:szCs w:val="16"/>
                <w:highlight w:val="none"/>
                <w:u w:val="none"/>
              </w:rPr>
            </w:pPr>
          </w:p>
        </w:tc>
        <w:tc>
          <w:tcPr>
            <w:tcW w:w="838" w:type="dxa"/>
            <w:tcBorders>
              <w:top w:val="nil"/>
              <w:left w:val="single" w:color="000000" w:sz="8" w:space="0"/>
              <w:bottom w:val="single" w:color="000000" w:sz="8" w:space="0"/>
              <w:right w:val="single" w:color="000000" w:sz="8" w:space="0"/>
            </w:tcBorders>
            <w:shd w:val="clear" w:color="auto" w:fill="auto"/>
            <w:vAlign w:val="center"/>
          </w:tcPr>
          <w:p w14:paraId="61ECFEDA">
            <w:pPr>
              <w:jc w:val="center"/>
              <w:rPr>
                <w:rFonts w:hint="eastAsia" w:ascii="宋体" w:hAnsi="宋体" w:eastAsia="宋体" w:cs="宋体"/>
                <w:i w:val="0"/>
                <w:iCs w:val="0"/>
                <w:color w:val="000000"/>
                <w:sz w:val="16"/>
                <w:szCs w:val="16"/>
                <w:highlight w:val="none"/>
                <w:u w:val="none"/>
              </w:rPr>
            </w:pPr>
          </w:p>
        </w:tc>
        <w:tc>
          <w:tcPr>
            <w:tcW w:w="1000" w:type="dxa"/>
            <w:tcBorders>
              <w:top w:val="nil"/>
              <w:left w:val="single" w:color="000000" w:sz="8" w:space="0"/>
              <w:bottom w:val="single" w:color="000000" w:sz="8" w:space="0"/>
              <w:right w:val="single" w:color="000000" w:sz="8" w:space="0"/>
            </w:tcBorders>
            <w:shd w:val="clear" w:color="auto" w:fill="auto"/>
            <w:vAlign w:val="center"/>
          </w:tcPr>
          <w:p w14:paraId="09F8DCB8">
            <w:pPr>
              <w:jc w:val="center"/>
              <w:rPr>
                <w:rFonts w:hint="eastAsia" w:ascii="宋体" w:hAnsi="宋体" w:eastAsia="宋体" w:cs="宋体"/>
                <w:i w:val="0"/>
                <w:iCs w:val="0"/>
                <w:color w:val="000000"/>
                <w:sz w:val="16"/>
                <w:szCs w:val="16"/>
                <w:highlight w:val="none"/>
                <w:u w:val="none"/>
              </w:rPr>
            </w:pPr>
          </w:p>
        </w:tc>
        <w:tc>
          <w:tcPr>
            <w:tcW w:w="1411" w:type="dxa"/>
            <w:vMerge w:val="continue"/>
            <w:tcBorders>
              <w:top w:val="nil"/>
              <w:left w:val="single" w:color="000000" w:sz="8" w:space="0"/>
              <w:bottom w:val="single" w:color="000000" w:sz="8" w:space="0"/>
              <w:right w:val="single" w:color="000000" w:sz="8" w:space="0"/>
            </w:tcBorders>
            <w:shd w:val="clear" w:color="auto" w:fill="auto"/>
            <w:vAlign w:val="center"/>
          </w:tcPr>
          <w:p w14:paraId="73837573">
            <w:pPr>
              <w:jc w:val="center"/>
              <w:rPr>
                <w:rFonts w:hint="eastAsia" w:ascii="宋体" w:hAnsi="宋体" w:eastAsia="宋体" w:cs="宋体"/>
                <w:i w:val="0"/>
                <w:iCs w:val="0"/>
                <w:color w:val="000000"/>
                <w:sz w:val="16"/>
                <w:szCs w:val="16"/>
                <w:highlight w:val="none"/>
                <w:u w:val="none"/>
              </w:rPr>
            </w:pPr>
          </w:p>
        </w:tc>
      </w:tr>
      <w:tr w14:paraId="2702A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019"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EB8E0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合计：</w:t>
            </w:r>
          </w:p>
        </w:tc>
        <w:tc>
          <w:tcPr>
            <w:tcW w:w="4699" w:type="dxa"/>
            <w:gridSpan w:val="5"/>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678A7E">
            <w:pPr>
              <w:jc w:val="center"/>
              <w:rPr>
                <w:rFonts w:hint="eastAsia" w:ascii="宋体" w:hAnsi="宋体" w:eastAsia="宋体" w:cs="宋体"/>
                <w:i w:val="0"/>
                <w:iCs w:val="0"/>
                <w:color w:val="000000"/>
                <w:sz w:val="16"/>
                <w:szCs w:val="16"/>
                <w:highlight w:val="none"/>
                <w:u w:val="none"/>
              </w:rPr>
            </w:pPr>
          </w:p>
        </w:tc>
      </w:tr>
    </w:tbl>
    <w:p w14:paraId="5D7F5BD4">
      <w:pPr>
        <w:pStyle w:val="4"/>
        <w:spacing w:before="0" w:after="0"/>
        <w:ind w:right="480"/>
        <w:jc w:val="left"/>
        <w:rPr>
          <w:rFonts w:hint="default" w:asciiTheme="minorEastAsia" w:hAnsiTheme="minorEastAsia" w:eastAsiaTheme="minorEastAsia"/>
          <w:b/>
          <w:bCs/>
          <w:sz w:val="24"/>
          <w:szCs w:val="24"/>
          <w:highlight w:val="none"/>
          <w:lang w:val="en-US" w:eastAsia="zh-CN"/>
        </w:rPr>
      </w:pPr>
    </w:p>
    <w:sectPr>
      <w:pgSz w:w="11906" w:h="16838"/>
      <w:pgMar w:top="1440" w:right="283" w:bottom="144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230A6">
    <w:pPr>
      <w:pStyle w:val="5"/>
      <w:jc w:val="center"/>
      <w:rPr>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24EB4D"/>
    <w:multiLevelType w:val="singleLevel"/>
    <w:tmpl w:val="AC24EB4D"/>
    <w:lvl w:ilvl="0" w:tentative="0">
      <w:start w:val="8"/>
      <w:numFmt w:val="decimal"/>
      <w:lvlText w:val="%1."/>
      <w:lvlJc w:val="left"/>
      <w:pPr>
        <w:tabs>
          <w:tab w:val="left" w:pos="312"/>
        </w:tabs>
      </w:pPr>
    </w:lvl>
  </w:abstractNum>
  <w:abstractNum w:abstractNumId="1">
    <w:nsid w:val="E3D3AA9A"/>
    <w:multiLevelType w:val="singleLevel"/>
    <w:tmpl w:val="E3D3AA9A"/>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k3NWE2YTVkMjJkYmJmNjA3MGIyZTRhMWNkMTE5ZjUifQ=="/>
  </w:docVars>
  <w:rsids>
    <w:rsidRoot w:val="1D2561C0"/>
    <w:rsid w:val="00012567"/>
    <w:rsid w:val="0002123B"/>
    <w:rsid w:val="000455BD"/>
    <w:rsid w:val="00054A69"/>
    <w:rsid w:val="000F1ECF"/>
    <w:rsid w:val="00141B08"/>
    <w:rsid w:val="001D3487"/>
    <w:rsid w:val="0020459D"/>
    <w:rsid w:val="00265869"/>
    <w:rsid w:val="002A0E93"/>
    <w:rsid w:val="003358FB"/>
    <w:rsid w:val="0037161B"/>
    <w:rsid w:val="00385D67"/>
    <w:rsid w:val="003900B8"/>
    <w:rsid w:val="003F6597"/>
    <w:rsid w:val="0045617E"/>
    <w:rsid w:val="00466E42"/>
    <w:rsid w:val="00471AE9"/>
    <w:rsid w:val="004E6EDE"/>
    <w:rsid w:val="0058180D"/>
    <w:rsid w:val="005D1CE6"/>
    <w:rsid w:val="005E16C8"/>
    <w:rsid w:val="00673F2E"/>
    <w:rsid w:val="0071564C"/>
    <w:rsid w:val="00745997"/>
    <w:rsid w:val="00841BC1"/>
    <w:rsid w:val="008E506F"/>
    <w:rsid w:val="008F1AC8"/>
    <w:rsid w:val="009064BF"/>
    <w:rsid w:val="00925E14"/>
    <w:rsid w:val="00936BDE"/>
    <w:rsid w:val="0096254A"/>
    <w:rsid w:val="009D0644"/>
    <w:rsid w:val="00A575E0"/>
    <w:rsid w:val="00B132F2"/>
    <w:rsid w:val="00B460AD"/>
    <w:rsid w:val="00B67027"/>
    <w:rsid w:val="00C02403"/>
    <w:rsid w:val="00C206E8"/>
    <w:rsid w:val="00C5071D"/>
    <w:rsid w:val="00CB0811"/>
    <w:rsid w:val="00D64AEA"/>
    <w:rsid w:val="00D87B6F"/>
    <w:rsid w:val="00D95F16"/>
    <w:rsid w:val="00DF6F5D"/>
    <w:rsid w:val="00E51A6B"/>
    <w:rsid w:val="00E53525"/>
    <w:rsid w:val="00E57088"/>
    <w:rsid w:val="00E63EA2"/>
    <w:rsid w:val="00EF735F"/>
    <w:rsid w:val="00F16EEB"/>
    <w:rsid w:val="00F80567"/>
    <w:rsid w:val="00FD00B0"/>
    <w:rsid w:val="01445562"/>
    <w:rsid w:val="026B3007"/>
    <w:rsid w:val="054144F3"/>
    <w:rsid w:val="059C5B47"/>
    <w:rsid w:val="072A7934"/>
    <w:rsid w:val="07BC7441"/>
    <w:rsid w:val="08253C58"/>
    <w:rsid w:val="0845254C"/>
    <w:rsid w:val="09866978"/>
    <w:rsid w:val="09EA6F07"/>
    <w:rsid w:val="0A5B0AFA"/>
    <w:rsid w:val="0B8E5FB8"/>
    <w:rsid w:val="0DF465A6"/>
    <w:rsid w:val="0E3F3E31"/>
    <w:rsid w:val="11BF511D"/>
    <w:rsid w:val="12176717"/>
    <w:rsid w:val="12255F01"/>
    <w:rsid w:val="12C0739F"/>
    <w:rsid w:val="13117BFA"/>
    <w:rsid w:val="145E6E6F"/>
    <w:rsid w:val="14FB2DCA"/>
    <w:rsid w:val="157B75AD"/>
    <w:rsid w:val="15D102CB"/>
    <w:rsid w:val="16221FAB"/>
    <w:rsid w:val="1767428D"/>
    <w:rsid w:val="1D2561C0"/>
    <w:rsid w:val="1D4B4E95"/>
    <w:rsid w:val="1D84721B"/>
    <w:rsid w:val="1F611199"/>
    <w:rsid w:val="1F9F1A13"/>
    <w:rsid w:val="218B501C"/>
    <w:rsid w:val="21C35148"/>
    <w:rsid w:val="21FB3C2F"/>
    <w:rsid w:val="23871813"/>
    <w:rsid w:val="2536529E"/>
    <w:rsid w:val="265830C2"/>
    <w:rsid w:val="27315D1D"/>
    <w:rsid w:val="27816CBF"/>
    <w:rsid w:val="27A02EA3"/>
    <w:rsid w:val="27BD5803"/>
    <w:rsid w:val="2AB96756"/>
    <w:rsid w:val="2ACA2711"/>
    <w:rsid w:val="2B6F4C50"/>
    <w:rsid w:val="2CA62B5A"/>
    <w:rsid w:val="2E3507E9"/>
    <w:rsid w:val="2E402CEA"/>
    <w:rsid w:val="2FA971D6"/>
    <w:rsid w:val="304B26BD"/>
    <w:rsid w:val="30605964"/>
    <w:rsid w:val="30A532D8"/>
    <w:rsid w:val="31A812D2"/>
    <w:rsid w:val="32770A74"/>
    <w:rsid w:val="327B0795"/>
    <w:rsid w:val="342D3ECB"/>
    <w:rsid w:val="363C023B"/>
    <w:rsid w:val="37240B34"/>
    <w:rsid w:val="378C6A73"/>
    <w:rsid w:val="393873DF"/>
    <w:rsid w:val="3AB331C1"/>
    <w:rsid w:val="3D1C4EF4"/>
    <w:rsid w:val="3D2C725B"/>
    <w:rsid w:val="3D654C4E"/>
    <w:rsid w:val="3E140BF7"/>
    <w:rsid w:val="3E1C107E"/>
    <w:rsid w:val="3EF43DA9"/>
    <w:rsid w:val="3FB0060E"/>
    <w:rsid w:val="42D34884"/>
    <w:rsid w:val="44D0671E"/>
    <w:rsid w:val="44EE4DF6"/>
    <w:rsid w:val="454315E6"/>
    <w:rsid w:val="46146ADE"/>
    <w:rsid w:val="46725EB0"/>
    <w:rsid w:val="4AE05AFA"/>
    <w:rsid w:val="4B0E7EC1"/>
    <w:rsid w:val="4B363221"/>
    <w:rsid w:val="4BF929FE"/>
    <w:rsid w:val="4CD869C2"/>
    <w:rsid w:val="4D275349"/>
    <w:rsid w:val="4FFC1982"/>
    <w:rsid w:val="5015592D"/>
    <w:rsid w:val="52E635B0"/>
    <w:rsid w:val="5415239F"/>
    <w:rsid w:val="543F11CA"/>
    <w:rsid w:val="548704B5"/>
    <w:rsid w:val="549C03CB"/>
    <w:rsid w:val="54B25E40"/>
    <w:rsid w:val="55197C6D"/>
    <w:rsid w:val="5621502B"/>
    <w:rsid w:val="56570101"/>
    <w:rsid w:val="56E61481"/>
    <w:rsid w:val="57EE53E1"/>
    <w:rsid w:val="586E207E"/>
    <w:rsid w:val="599338C4"/>
    <w:rsid w:val="5B5A559D"/>
    <w:rsid w:val="5C932F2A"/>
    <w:rsid w:val="5D4744DC"/>
    <w:rsid w:val="5D5E6C17"/>
    <w:rsid w:val="5F4C0C3F"/>
    <w:rsid w:val="612F62D7"/>
    <w:rsid w:val="61C51070"/>
    <w:rsid w:val="62784B89"/>
    <w:rsid w:val="62A26065"/>
    <w:rsid w:val="62CB0867"/>
    <w:rsid w:val="62CF5F0A"/>
    <w:rsid w:val="63A0660F"/>
    <w:rsid w:val="63DC38E5"/>
    <w:rsid w:val="64236413"/>
    <w:rsid w:val="642503DD"/>
    <w:rsid w:val="65202952"/>
    <w:rsid w:val="656D1D78"/>
    <w:rsid w:val="65B006F3"/>
    <w:rsid w:val="667411B4"/>
    <w:rsid w:val="66A8411A"/>
    <w:rsid w:val="67BF46A4"/>
    <w:rsid w:val="67EE0AE5"/>
    <w:rsid w:val="684150B9"/>
    <w:rsid w:val="691730F4"/>
    <w:rsid w:val="6A3A6264"/>
    <w:rsid w:val="6AF01018"/>
    <w:rsid w:val="6CE057BE"/>
    <w:rsid w:val="6E4C47B8"/>
    <w:rsid w:val="6E666027"/>
    <w:rsid w:val="6EA12D56"/>
    <w:rsid w:val="6EEF1D13"/>
    <w:rsid w:val="6F0973EC"/>
    <w:rsid w:val="6F1C418A"/>
    <w:rsid w:val="6F2A4AF9"/>
    <w:rsid w:val="6F63480E"/>
    <w:rsid w:val="6F657F39"/>
    <w:rsid w:val="71390170"/>
    <w:rsid w:val="71803A7A"/>
    <w:rsid w:val="71A30B93"/>
    <w:rsid w:val="71B608C6"/>
    <w:rsid w:val="72107CCC"/>
    <w:rsid w:val="72442376"/>
    <w:rsid w:val="73D52108"/>
    <w:rsid w:val="73D56CC2"/>
    <w:rsid w:val="73E94801"/>
    <w:rsid w:val="77147E3D"/>
    <w:rsid w:val="773643C1"/>
    <w:rsid w:val="774A578E"/>
    <w:rsid w:val="780B56E4"/>
    <w:rsid w:val="790463BB"/>
    <w:rsid w:val="7AD918B4"/>
    <w:rsid w:val="7B803CF3"/>
    <w:rsid w:val="7D2232B3"/>
    <w:rsid w:val="7D237D37"/>
    <w:rsid w:val="7D44147C"/>
    <w:rsid w:val="7D6C09D3"/>
    <w:rsid w:val="7DAE0FEB"/>
    <w:rsid w:val="7DD92D91"/>
    <w:rsid w:val="7E2117BD"/>
    <w:rsid w:val="7E266DD3"/>
    <w:rsid w:val="7FA2248A"/>
    <w:rsid w:val="7FE40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13"/>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4"/>
    <w:qFormat/>
    <w:uiPriority w:val="0"/>
    <w:pPr>
      <w:snapToGrid w:val="0"/>
      <w:spacing w:before="120" w:after="120" w:line="360" w:lineRule="auto"/>
    </w:pPr>
    <w:rPr>
      <w:rFonts w:ascii="宋体" w:hAnsi="宋体" w:eastAsia="宋体"/>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9">
    <w:name w:val="Hyperlink"/>
    <w:qFormat/>
    <w:uiPriority w:val="99"/>
    <w:rPr>
      <w:color w:val="0000FF"/>
      <w:u w:val="single"/>
    </w:rPr>
  </w:style>
  <w:style w:type="paragraph" w:styleId="10">
    <w:name w:val="List Paragraph"/>
    <w:basedOn w:val="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paragraph" w:customStyle="1" w:styleId="11">
    <w:name w:val="列出段落1"/>
    <w:basedOn w:val="1"/>
    <w:qFormat/>
    <w:uiPriority w:val="34"/>
    <w:pPr>
      <w:ind w:firstLine="420" w:firstLineChars="200"/>
    </w:pPr>
    <w:rPr>
      <w:rFonts w:asciiTheme="minorHAnsi" w:hAnsiTheme="minorHAnsi" w:eastAsiaTheme="minorEastAsia" w:cstheme="minorBidi"/>
      <w:sz w:val="21"/>
      <w:szCs w:val="22"/>
    </w:rPr>
  </w:style>
  <w:style w:type="character" w:customStyle="1" w:styleId="12">
    <w:name w:val="页眉 Char"/>
    <w:basedOn w:val="8"/>
    <w:link w:val="6"/>
    <w:qFormat/>
    <w:uiPriority w:val="0"/>
    <w:rPr>
      <w:rFonts w:ascii="Times New Roman" w:hAnsi="Times New Roman" w:eastAsia="华文中宋"/>
      <w:kern w:val="2"/>
      <w:sz w:val="18"/>
      <w:szCs w:val="18"/>
    </w:rPr>
  </w:style>
  <w:style w:type="character" w:customStyle="1" w:styleId="13">
    <w:name w:val="标题 2 Char"/>
    <w:basedOn w:val="8"/>
    <w:link w:val="3"/>
    <w:semiHidden/>
    <w:qFormat/>
    <w:uiPriority w:val="0"/>
    <w:rPr>
      <w:rFonts w:asciiTheme="majorHAnsi" w:hAnsiTheme="majorHAnsi" w:eastAsiaTheme="majorEastAsia" w:cstheme="majorBidi"/>
      <w:b/>
      <w:bCs/>
      <w:kern w:val="2"/>
      <w:sz w:val="32"/>
      <w:szCs w:val="32"/>
    </w:rPr>
  </w:style>
  <w:style w:type="character" w:customStyle="1" w:styleId="14">
    <w:name w:val="正文文本 Char"/>
    <w:basedOn w:val="8"/>
    <w:link w:val="4"/>
    <w:qFormat/>
    <w:uiPriority w:val="0"/>
    <w:rPr>
      <w:rFonts w:ascii="宋体" w:hAnsi="宋体"/>
      <w:kern w:val="2"/>
      <w:sz w:val="24"/>
    </w:rPr>
  </w:style>
  <w:style w:type="character" w:customStyle="1" w:styleId="15">
    <w:name w:val="font21"/>
    <w:basedOn w:val="8"/>
    <w:qFormat/>
    <w:uiPriority w:val="0"/>
    <w:rPr>
      <w:rFonts w:hint="eastAsia" w:ascii="宋体" w:hAnsi="宋体" w:eastAsia="宋体" w:cs="宋体"/>
      <w:color w:val="000000"/>
      <w:sz w:val="21"/>
      <w:szCs w:val="21"/>
      <w:u w:val="none"/>
    </w:rPr>
  </w:style>
  <w:style w:type="character" w:customStyle="1" w:styleId="16">
    <w:name w:val="font31"/>
    <w:basedOn w:val="8"/>
    <w:qFormat/>
    <w:uiPriority w:val="0"/>
    <w:rPr>
      <w:rFonts w:hint="default"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7642</Words>
  <Characters>8084</Characters>
  <Lines>20</Lines>
  <Paragraphs>5</Paragraphs>
  <TotalTime>110</TotalTime>
  <ScaleCrop>false</ScaleCrop>
  <LinksUpToDate>false</LinksUpToDate>
  <CharactersWithSpaces>9036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2022-02-11T11:20:00Z</dcterms:created>
  <dc:creator>Lenovo</dc:creator>
  <cp:lastModifiedBy>唐艳华</cp:lastModifiedBy>
  <cp:lastPrinted>2022-02-11T11:47:00Z</cp:lastPrinted>
  <dcterms:modified xsi:type="dcterms:W3CDTF">2026-02-06T08:27:03Z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BCAEB554259B43B5A444E63FE0CEC227</vt:lpwstr>
  </property>
  <property fmtid="{D5CDD505-2E9C-101B-9397-08002B2CF9AE}" pid="4" name="KSOTemplateDocerSaveRecord">
    <vt:lpwstr>eyJoZGlkIjoiOTc3M2Y5NzIzMDFlZjAyY2Q4Njk5ODkyYjFjNzBiNTQiLCJ1c2VySWQiOiI1MjAxMTg2NDAifQ==</vt:lpwstr>
  </property>
</Properties>
</file>